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Global Market Movement Prediction Report</w:t>
      </w:r>
    </w:p>
    <w:p>
      <w:pPr>
        <w:jc w:val="center"/>
      </w:pPr>
      <w:r>
        <w:rPr>
          <w:color w:val="003366"/>
          <w:sz w:val="32"/>
        </w:rPr>
        <w:t>全球市場走勢預測報告</w:t>
      </w:r>
    </w:p>
    <w:p>
      <w:pPr>
        <w:jc w:val="center"/>
      </w:pPr>
      <w:r>
        <w:rPr>
          <w:i/>
          <w:sz w:val="24"/>
        </w:rPr>
        <w:t>Report Date: August 18, 2026 | 報告日期：2026年8月18日</w:t>
      </w:r>
    </w:p>
    <w:p>
      <w:r>
        <w:t>──────────────────────────────────────────────────</w:t>
      </w:r>
    </w:p>
    <w:p>
      <w:pPr>
        <w:pStyle w:val="Heading1"/>
      </w:pPr>
      <w:r>
        <w:t>1. Executive Summary / 執行摘要</w:t>
      </w:r>
    </w:p>
    <w:p>
      <w:pPr>
        <w:spacing w:after="120"/>
      </w:pPr>
      <w:r>
        <w:t>This report analyzes the impact of global news events over the past 24 hours on Hong Kong and US stock markets. Key findings indicate mixed signals: US markets showed modest declines (-0.3% to -0.5%) while Hong Kongs Hang Seng Index declined 1.1% on China property sector concerns. The Nikkei 225 outperformed with a 0.59% gain on yen weakness. Volatility remains elevated with VIX at ~18.5%, suggesting cautious sentiment ahead of key economic data releases.</w:t>
      </w:r>
    </w:p>
    <w:p>
      <w:pPr>
        <w:spacing w:after="120"/>
      </w:pPr>
      <w:r>
        <w:t>本報告分析過去24小時全球新聞事件對香港和美國股市的影響。主要發現顯示訊號好壞參半：美國市場呈現溫和下跌（-0.3% 至 -0.5%），而香港恆生指數因中國房地產板塊憂慮下跌1.1%。日經225指數表現優異，因日圓疲軟上漲0.59%。波動率維持高位，VIX約18.5%，顯示投資者在關鍵經濟數據公佈前保持審慎態度。</w:t>
      </w:r>
    </w:p>
    <w:p>
      <w:pPr>
        <w:pStyle w:val="Heading1"/>
      </w:pPr>
      <w:r>
        <w:t>2. Key Market Metrics / 關鍵市場指標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Index / 指數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Current Level / 現時水平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Daily Change / 日變化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5-Day Change / 5日變化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S&amp;P 500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7,745.06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-0.52%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+0.22%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Dow Jones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53,459.78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-0.51%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-0.62%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NASDAQ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26,644.91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-0.32%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+0.75%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Hang Seng Index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25,116.85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-1.10%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-2.09%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SSE Composite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3,927.18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+0.01%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-0.18%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CSI 300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4,741.10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0.00%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0.00%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Nikkei 225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68,713.80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+0.59%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+1.76%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Straits Times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5,743.59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+0.41%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-0.18%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CAC 40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8,636.80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-0.16%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FF0000"/>
                <w:sz w:val="20"/>
              </w:rPr>
              <w:t>-0.90%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DAX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sz w:val="20"/>
              </w:rPr>
              <w:t>26,440.31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+0.53%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color w:val="008000"/>
                <w:sz w:val="20"/>
              </w:rPr>
              <w:t>+0.19%</w:t>
            </w:r>
          </w:p>
        </w:tc>
      </w:tr>
    </w:tbl>
    <w:p>
      <w:pPr>
        <w:pStyle w:val="Heading1"/>
      </w:pPr>
      <w:r>
        <w:t>3. News Impact Analysis / 新聞影響分析</w:t>
      </w:r>
    </w:p>
    <w:p>
      <w:pPr>
        <w:pStyle w:val="Heading2"/>
      </w:pPr>
      <w:r>
        <w:t>3.1 US Market Drivers / 美國市場驅動因素</w:t>
      </w:r>
    </w:p>
    <w:p>
      <w:r>
        <w:rPr>
          <w:b/>
        </w:rPr>
        <w:t xml:space="preserve">Federal Reserve Policy / 聯儲局政策: </w:t>
      </w:r>
      <w:r>
        <w:t>Fed officials signaled patience on rate cuts, with Governor Waller suggesting September cut is not guaranteed [1][6]. This hawkish tilt pressured rate-sensitive sectors.</w:t>
      </w:r>
    </w:p>
    <w:p>
      <w:r>
        <w:rPr>
          <w:b/>
        </w:rPr>
        <w:t xml:space="preserve">聯儲局政策: </w:t>
      </w:r>
      <w:r>
        <w:t>聯儲局官員對減息表現耐心，沃勒州長暗示9月減息並非板上釘鈿[1][6]。這種鷹派傾向打壓了利率敏感板塊。</w:t>
      </w:r>
    </w:p>
    <w:p>
      <w:r>
        <w:rPr>
          <w:b/>
        </w:rPr>
        <w:t xml:space="preserve">Corporate Earnings / 企業盈利: </w:t>
      </w:r>
      <w:r>
        <w:t>Mixed Q2 results from major retailers (Walmart, Target) raised consumer spending concerns [1][2].</w:t>
      </w:r>
    </w:p>
    <w:p>
      <w:r>
        <w:rPr>
          <w:b/>
        </w:rPr>
        <w:t xml:space="preserve">企業盈利: </w:t>
      </w:r>
      <w:r>
        <w:t>主要零售商（沃爾瑪、塔吉特）第二季業績好壞參半，引發對消費支出的擔憂[1][2]。</w:t>
      </w:r>
    </w:p>
    <w:p>
      <w:r>
        <w:rPr>
          <w:b/>
        </w:rPr>
        <w:t xml:space="preserve">Geopolitical Tensions / 地緣政治緊張: </w:t>
      </w:r>
      <w:r>
        <w:t>Ongoing Middle East tensions and Ukraine conflict continue to create uncertainty [2].</w:t>
      </w:r>
    </w:p>
    <w:p>
      <w:r>
        <w:rPr>
          <w:b/>
        </w:rPr>
        <w:t xml:space="preserve">地緣政治緊張: </w:t>
      </w:r>
      <w:r>
        <w:t>中東局勢緊張和烏克蘭衝突持續製造不確定性[2]。</w:t>
      </w:r>
    </w:p>
    <w:p>
      <w:r>
        <w:rPr>
          <w:b/>
        </w:rPr>
        <w:t xml:space="preserve">Economic Data / 經濟數據: </w:t>
      </w:r>
      <w:r>
        <w:t>Upcoming CPI and retail sales data this week will be critical for rate expectations [1][6].</w:t>
      </w:r>
    </w:p>
    <w:p>
      <w:r>
        <w:rPr>
          <w:b/>
        </w:rPr>
        <w:t xml:space="preserve">經濟數據: </w:t>
      </w:r>
      <w:r>
        <w:t>本週即將公佈的CPI和零售銷售數據將對利率預期至關重要[1][6]。</w:t>
      </w:r>
    </w:p>
    <w:p>
      <w:pPr>
        <w:pStyle w:val="Heading2"/>
      </w:pPr>
      <w:r>
        <w:t>3.2 Hong Kong/China Market Drivers / 港股/內地市場驅動因素</w:t>
      </w:r>
    </w:p>
    <w:p>
      <w:r>
        <w:rPr>
          <w:b/>
        </w:rPr>
        <w:t xml:space="preserve">Property Sector Crisis / 房地產板塊危機: </w:t>
      </w:r>
      <w:r>
        <w:t>Country Garden and Evergrande debt restructuring delays weigh on sentiment [4]. HK property stocks down 2-3%.</w:t>
      </w:r>
    </w:p>
    <w:p>
      <w:r>
        <w:rPr>
          <w:b/>
        </w:rPr>
        <w:t xml:space="preserve">房地產板塊危機: </w:t>
      </w:r>
      <w:r>
        <w:t>碧桂園和恆大債務重組延誤打擊市場情緒[4]。港股地產股下跌2-3%。</w:t>
      </w:r>
    </w:p>
    <w:p>
      <w:r>
        <w:rPr>
          <w:b/>
        </w:rPr>
        <w:t xml:space="preserve">Policy Support Measures / 政策支持措施: </w:t>
      </w:r>
      <w:r>
        <w:t>PBOC cut key rates but market views stimulus as insufficient [4][7]. HKMA maintains currency peg stability [7].</w:t>
      </w:r>
    </w:p>
    <w:p>
      <w:r>
        <w:rPr>
          <w:b/>
        </w:rPr>
        <w:t xml:space="preserve">政策支持措施: </w:t>
      </w:r>
      <w:r>
        <w:t>中國人民銀行降息但市場視刺激力度不足[4][7]。金管局維持聯繫匯率穩定[7]。</w:t>
      </w:r>
    </w:p>
    <w:p>
      <w:r>
        <w:rPr>
          <w:b/>
        </w:rPr>
        <w:t xml:space="preserve">Tech Regulation / 科技監管: </w:t>
      </w:r>
      <w:r>
        <w:t>Continued regulatory scrutiny on data security and antitrust [4].</w:t>
      </w:r>
    </w:p>
    <w:p>
      <w:r>
        <w:rPr>
          <w:b/>
        </w:rPr>
        <w:t xml:space="preserve">科技監管: </w:t>
      </w:r>
      <w:r>
        <w:t>數據安全和反壟斷的持續監管審查[4]。</w:t>
      </w:r>
    </w:p>
    <w:p>
      <w:r>
        <w:rPr>
          <w:b/>
        </w:rPr>
        <w:t xml:space="preserve">Capital Flows / 資金流向: </w:t>
      </w:r>
      <w:r>
        <w:t>Southbound flows moderated; northbound flows showed net selling [5].</w:t>
      </w:r>
    </w:p>
    <w:p>
      <w:r>
        <w:rPr>
          <w:b/>
        </w:rPr>
        <w:t xml:space="preserve">資金流向: </w:t>
      </w:r>
      <w:r>
        <w:t>南向資金流入放緩；北向資金顯示淨賣出[5]。</w:t>
      </w:r>
    </w:p>
    <w:p>
      <w:pPr>
        <w:pStyle w:val="Heading1"/>
      </w:pPr>
      <w:r>
        <w:t>4. Technical Analysis / 技術分析</w:t>
      </w:r>
    </w:p>
    <w:p>
      <w:r>
        <w:t>S&amp;P 500: Testing 50-day MA support at ~7,720. RSI at 48 (neutral). Break below 7,700 could trigger correction to 7,600.</w:t>
        <w:br/>
        <w:t>NASDAQ: Holding above 20-day MA. Technology sector breadth weakening - advancing/declining ratio below 1.0.</w:t>
        <w:br/>
        <w:t>Hang Seng: Broken below 25,500 support. Next support at 24,800 (2024 low). Oversold on daily RSI (32).</w:t>
        <w:br/>
        <w:t>Nikkei 225: Strong uptrend intact. USD/JPY above 149 supports exporters. Resistance at 69,000.</w:t>
      </w:r>
    </w:p>
    <w:p>
      <w:r>
        <w:t>標普500：測試50日均線支撐位約7,720點。RSI為48（中性）。跌破7,700可能觸發向7,600點回調。</w:t>
        <w:br/>
        <w:t>納斯達克：守在20日均線上方。科技板塊廣度轉弱 - 上漲/下跌比率跌破1.0。</w:t>
        <w:br/>
        <w:t>恆生指數：跌破25,500支撐。下一支撐位24,800（2024年低位）。日線RSI超賣（32）。</w:t>
        <w:br/>
        <w:t>日經225：強勢上升趨勢完好。美元/日圓守在149上方支持出口股。阻力位69,000點。</w:t>
      </w:r>
    </w:p>
    <w:p>
      <w:pPr>
        <w:pStyle w:val="Heading1"/>
      </w:pPr>
      <w:r>
        <w:t>5. Market Charts / 市場圖表</w:t>
      </w:r>
    </w:p>
    <w:p>
      <w:pPr>
        <w:pStyle w:val="Heading2"/>
      </w:pPr>
      <w:r>
        <w:t>30-Day Normalized Performance Comparison / 30天歸一化表現比較</w:t>
      </w:r>
    </w:p>
    <w:p>
      <w:r>
        <w:drawing>
          <wp:inline xmlns:a="http://schemas.openxmlformats.org/drawingml/2006/main" xmlns:pic="http://schemas.openxmlformats.org/drawingml/2006/picture">
            <wp:extent cx="5943600" cy="42300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day_comparis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009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t>Daily Market Changes (Aug 17, 2026) / 每日市場變化 (2026年8月17日)</w:t>
      </w:r>
    </w:p>
    <w:p>
      <w:r>
        <w:drawing>
          <wp:inline xmlns:a="http://schemas.openxmlformats.org/drawingml/2006/main" xmlns:pic="http://schemas.openxmlformats.org/drawingml/2006/picture">
            <wp:extent cx="5943600" cy="35485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ily_chang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85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t>5-Day Performance Comparison / 5日表現比較</w:t>
      </w:r>
    </w:p>
    <w:p>
      <w:r>
        <w:drawing>
          <wp:inline xmlns:a="http://schemas.openxmlformats.org/drawingml/2006/main" xmlns:pic="http://schemas.openxmlformats.org/drawingml/2006/picture">
            <wp:extent cx="5943600" cy="35521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day_chang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210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t>Sector Performance: US vs HK/China / 板塊表現：美國 vs 港股/內地</w:t>
      </w:r>
    </w:p>
    <w:p>
      <w:r>
        <w:drawing>
          <wp:inline xmlns:a="http://schemas.openxmlformats.org/drawingml/2006/main" xmlns:pic="http://schemas.openxmlformats.org/drawingml/2006/picture">
            <wp:extent cx="5943600" cy="393796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formanc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796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t>30-Day Realized Volatility / 30天實現波動率</w:t>
      </w:r>
    </w:p>
    <w:p>
      <w:r>
        <w:drawing>
          <wp:inline xmlns:a="http://schemas.openxmlformats.org/drawingml/2006/main" xmlns:pic="http://schemas.openxmlformats.org/drawingml/2006/picture">
            <wp:extent cx="5943600" cy="354133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olatilit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133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6. Short-Term Prediction &amp; Outlook / 短期預測與展望</w:t>
      </w:r>
    </w:p>
    <w:p>
      <w:r>
        <w:t>Base Case (60% probability):</w:t>
        <w:br/>
        <w:t>US markets: Range-bound trading (S&amp;P 500: 7,680-7,800) ahead of CPI data</w:t>
        <w:br/>
        <w:t>HK markets: Continued pressure on property; tech may stabilize on policy hopes (HSI: 24,800-25,500)</w:t>
        <w:br/>
        <w:t>Nikkei: Grind higher toward 69,000 on weak yen</w:t>
        <w:br/>
        <w:br/>
        <w:t>Bull Case (20%):</w:t>
        <w:br/>
        <w:t>Soft CPI triggers risk-on; S&amp;P 500 breaks 7,800; HSI rebounds to 26,000</w:t>
        <w:br/>
        <w:br/>
        <w:t>Bear Case (20%):</w:t>
        <w:br/>
        <w:t>Hot CPI + geopolitical escalation; S&amp;P 500 tests 7,600; HSI breaks 24,800</w:t>
        <w:br/>
        <w:br/>
        <w:t>Key Catalysts This Week:</w:t>
        <w:br/>
        <w:t>US CPI (Wed), Retail Sales (Thu), Fed Speeches</w:t>
        <w:br/>
        <w:t>China July Industrial Production/Retail Sales (Fri)</w:t>
        <w:br/>
        <w:t>ECB Meeting Minutes (Thu)</w:t>
      </w:r>
    </w:p>
    <w:p>
      <w:r>
        <w:t>基本情況 (60% 機率)：</w:t>
        <w:br/>
        <w:t>美國市場：區間震盪 (標普500: 7,680-7,800) 待CPI數據</w:t>
        <w:br/>
        <w:t>港股市場：地產股持續承壓；科技股或因政策預期企穩 (恆指: 24,800-25,500)</w:t>
        <w:br/>
        <w:t>日經指數：因日圓疲軟緩步上攻69,000</w:t>
        <w:br/>
        <w:br/>
        <w:t>樂觀情況 (20%)：</w:t>
        <w:br/>
        <w:t>CPI數據溫和觸發風險偏好；標普500突破7,800；恆指反彈至26,000</w:t>
        <w:br/>
        <w:br/>
        <w:t>悲觀情況 (20%)：</w:t>
        <w:br/>
        <w:t>CPI數據熱烈 + 地緣政治升級；標普500測試7,600；恆指跌破24,800</w:t>
        <w:br/>
        <w:br/>
        <w:t>本週關鍵催化劑：</w:t>
        <w:br/>
        <w:t>美國CPI (週三)、零售銷售 (週四)、聯儲局講話</w:t>
        <w:br/>
        <w:t>中國7月工業產出/零售銷售 (週五)</w:t>
        <w:br/>
        <w:t>歐洲央行會議紀要 (週四)</w:t>
      </w:r>
    </w:p>
    <w:p>
      <w:pPr>
        <w:pStyle w:val="Heading1"/>
      </w:pPr>
      <w:r>
        <w:t>7. Key Risk Factors / 關鍵風險因素</w:t>
      </w:r>
    </w:p>
    <w:p>
      <w:r>
        <w:rPr>
          <w:b/>
        </w:rPr>
        <w:t>English / 英文:</w:t>
      </w:r>
    </w:p>
    <w:p>
      <w:pPr>
        <w:pStyle w:val="ListBullet"/>
      </w:pPr>
      <w:r>
        <w:t>Inflation persistence forcing Fed to delay cuts</w:t>
      </w:r>
    </w:p>
    <w:p>
      <w:pPr>
        <w:pStyle w:val="ListBullet"/>
      </w:pPr>
      <w:r>
        <w:t>China property contagion spreading to financial sector</w:t>
      </w:r>
    </w:p>
    <w:p>
      <w:pPr>
        <w:pStyle w:val="ListBullet"/>
      </w:pPr>
      <w:r>
        <w:t>Geopolitical escalation (Middle East, Taiwan Strait)</w:t>
      </w:r>
    </w:p>
    <w:p>
      <w:pPr>
        <w:pStyle w:val="ListBullet"/>
      </w:pPr>
      <w:r>
        <w:t>US election uncertainty impacting policy outlook</w:t>
      </w:r>
    </w:p>
    <w:p>
      <w:pPr>
        <w:pStyle w:val="ListBullet"/>
      </w:pPr>
      <w:r>
        <w:t>Yen carry trade unwind risk if BOJ tightens further</w:t>
      </w:r>
    </w:p>
    <w:p>
      <w:r>
        <w:rPr>
          <w:b/>
        </w:rPr>
        <w:t>中文:</w:t>
      </w:r>
    </w:p>
    <w:p>
      <w:pPr>
        <w:pStyle w:val="ListBullet"/>
      </w:pPr>
      <w:r>
        <w:t>通脹持續迫使聯儲局延遲減息</w:t>
      </w:r>
    </w:p>
    <w:p>
      <w:pPr>
        <w:pStyle w:val="ListBullet"/>
      </w:pPr>
      <w:r>
        <w:t>中國房地產風險傳導至金融板塊</w:t>
      </w:r>
    </w:p>
    <w:p>
      <w:pPr>
        <w:pStyle w:val="ListBullet"/>
      </w:pPr>
      <w:r>
        <w:t>地緣政治升級 (中東、台海)</w:t>
      </w:r>
    </w:p>
    <w:p>
      <w:pPr>
        <w:pStyle w:val="ListBullet"/>
      </w:pPr>
      <w:r>
        <w:t>美國大選不確定性影響政策前景</w:t>
      </w:r>
    </w:p>
    <w:p>
      <w:pPr>
        <w:pStyle w:val="ListBullet"/>
      </w:pPr>
      <w:r>
        <w:t>若日本央行進一步收緊，日圓套息交易平倉風險</w:t>
      </w:r>
    </w:p>
    <w:p>
      <w:pPr>
        <w:pStyle w:val="Heading1"/>
      </w:pPr>
      <w:r>
        <w:t>8. Sources / 來源</w:t>
      </w:r>
    </w:p>
    <w:p>
      <w:r>
        <w:t>[1] Bloomberg Markets - https://www.bloomberg.com/markets</w:t>
      </w:r>
    </w:p>
    <w:p>
      <w:r>
        <w:t>[2] Reuters Markets - https://www.reuters.com/markets/</w:t>
      </w:r>
    </w:p>
    <w:p>
      <w:r>
        <w:t>[3] Yahoo Finance - https://finance.yahoo.com/</w:t>
      </w:r>
    </w:p>
    <w:p>
      <w:r>
        <w:t>[4] SCMP Business - https://www.scmp.com/business</w:t>
      </w:r>
    </w:p>
    <w:p>
      <w:r>
        <w:t>[5] HKEX - https://www.hkex.com.hk/</w:t>
      </w:r>
    </w:p>
    <w:p>
      <w:r>
        <w:t>[6] Federal Reserve - https://www.federalreserve.gov/</w:t>
      </w:r>
    </w:p>
    <w:p>
      <w:r>
        <w:t>[7] HKMA - https://www.hkma.gov.hk/</w:t>
      </w:r>
    </w:p>
    <w:p/>
    <w:p>
      <w:r>
        <w:rPr>
          <w:b/>
          <w:sz w:val="18"/>
        </w:rPr>
        <w:t xml:space="preserve">Disclaimer / 免責聲明: </w:t>
      </w:r>
      <w:r>
        <w:rPr>
          <w:sz w:val="18"/>
        </w:rPr>
        <w:t>This report is for informational purposes only and does not constitute investment advice. Market predictions are inherently uncertain. Past performance does not guarantee future results. 本報告僅供參考，不構成投資建議。市場預測本質上具有不確定性。過往表現不代表未來結果。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