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Bitcoin Market Analysis Report</w:t>
      </w:r>
    </w:p>
    <w:p>
      <w:pPr>
        <w:pStyle w:val="Heading2"/>
      </w:pPr>
      <w:r>
        <w:t>Price Outlook, On-Chain Metrics &amp; Risk Assessment</w:t>
      </w:r>
    </w:p>
    <w:p>
      <w:pPr>
        <w:pStyle w:val="Heading3"/>
      </w:pPr>
      <w:r>
        <w:t>As of August 2026</w:t>
      </w:r>
    </w:p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2"/>
      </w:pPr>
      <w:r>
        <w:t>Executive Summary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Metric</w:t>
            </w:r>
          </w:p>
        </w:tc>
        <w:tc>
          <w:tcPr>
            <w:tcW w:type="dxa" w:w="2160"/>
          </w:tcPr>
          <w:p>
            <w:r>
              <w:rPr>
                <w:b/>
              </w:rPr>
              <w:t>Current (Aug 2026)</w:t>
            </w:r>
          </w:p>
        </w:tc>
        <w:tc>
          <w:tcPr>
            <w:tcW w:type="dxa" w:w="2160"/>
          </w:tcPr>
          <w:p>
            <w:r>
              <w:rPr>
                <w:b/>
              </w:rPr>
              <w:t>6-Month Change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Key Signal</w:t>
            </w:r>
          </w:p>
        </w:tc>
      </w:tr>
      <w:tr>
        <w:tc>
          <w:tcPr>
            <w:tcW w:type="dxa" w:w="2160"/>
          </w:tcPr>
          <w:p>
            <w:r>
              <w:t>**BTC Price**</w:t>
            </w:r>
          </w:p>
        </w:tc>
        <w:tc>
          <w:tcPr>
            <w:tcW w:type="dxa" w:w="2160"/>
          </w:tcPr>
          <w:p>
            <w:r>
              <w:t>~$68,500</w:t>
            </w:r>
          </w:p>
        </w:tc>
        <w:tc>
          <w:tcPr>
            <w:tcW w:type="dxa" w:w="2160"/>
          </w:tcPr>
          <w:p>
            <w:r>
              <w:t>+18%</w:t>
            </w:r>
          </w:p>
        </w:tc>
        <w:tc>
          <w:tcPr>
            <w:tcW w:type="dxa" w:w="2160"/>
          </w:tcPr>
          <w:p>
            <w:r>
              <w:t>Consolidating post-halving</w:t>
            </w:r>
          </w:p>
        </w:tc>
      </w:tr>
      <w:tr>
        <w:tc>
          <w:tcPr>
            <w:tcW w:type="dxa" w:w="2160"/>
          </w:tcPr>
          <w:p>
            <w:r>
              <w:t>**Market Cap**</w:t>
            </w:r>
          </w:p>
        </w:tc>
        <w:tc>
          <w:tcPr>
            <w:tcW w:type="dxa" w:w="2160"/>
          </w:tcPr>
          <w:p>
            <w:r>
              <w:t>~$1.35T</w:t>
            </w:r>
          </w:p>
        </w:tc>
        <w:tc>
          <w:tcPr>
            <w:tcW w:type="dxa" w:w="2160"/>
          </w:tcPr>
          <w:p>
            <w:r>
              <w:t>+22%</w:t>
            </w:r>
          </w:p>
        </w:tc>
        <w:tc>
          <w:tcPr>
            <w:tcW w:type="dxa" w:w="2160"/>
          </w:tcPr>
          <w:p>
            <w:r>
              <w:t>#1 crypto, ~52% dominance</w:t>
            </w:r>
          </w:p>
        </w:tc>
      </w:tr>
      <w:tr>
        <w:tc>
          <w:tcPr>
            <w:tcW w:type="dxa" w:w="2160"/>
          </w:tcPr>
          <w:p>
            <w:r>
              <w:t>**Realized Cap**</w:t>
            </w:r>
          </w:p>
        </w:tc>
        <w:tc>
          <w:tcPr>
            <w:tcW w:type="dxa" w:w="2160"/>
          </w:tcPr>
          <w:p>
            <w:r>
              <w:t>~$680B</w:t>
            </w:r>
          </w:p>
        </w:tc>
        <w:tc>
          <w:tcPr>
            <w:tcW w:type="dxa" w:w="2160"/>
          </w:tcPr>
          <w:p>
            <w:r>
              <w:t>+15%</w:t>
            </w:r>
          </w:p>
        </w:tc>
        <w:tc>
          <w:tcPr>
            <w:tcW w:type="dxa" w:w="2160"/>
          </w:tcPr>
          <w:p>
            <w:r>
              <w:t>Holder cost basis rising</w:t>
            </w:r>
          </w:p>
        </w:tc>
      </w:tr>
      <w:tr>
        <w:tc>
          <w:tcPr>
            <w:tcW w:type="dxa" w:w="2160"/>
          </w:tcPr>
          <w:p>
            <w:r>
              <w:t>**MVRV Ratio**</w:t>
            </w:r>
          </w:p>
        </w:tc>
        <w:tc>
          <w:tcPr>
            <w:tcW w:type="dxa" w:w="2160"/>
          </w:tcPr>
          <w:p>
            <w:r>
              <w:t>1.98</w:t>
            </w:r>
          </w:p>
        </w:tc>
        <w:tc>
          <w:tcPr>
            <w:tcW w:type="dxa" w:w="2160"/>
          </w:tcPr>
          <w:p>
            <w:r>
              <w:t>—</w:t>
            </w:r>
          </w:p>
        </w:tc>
        <w:tc>
          <w:tcPr>
            <w:tcW w:type="dxa" w:w="2160"/>
          </w:tcPr>
          <w:p>
            <w:r>
              <w:t>Fair value zone (1.5-2.5)</w:t>
            </w:r>
          </w:p>
        </w:tc>
      </w:tr>
      <w:tr>
        <w:tc>
          <w:tcPr>
            <w:tcW w:type="dxa" w:w="2160"/>
          </w:tcPr>
          <w:p>
            <w:r>
              <w:t>**NUPL**</w:t>
            </w:r>
          </w:p>
        </w:tc>
        <w:tc>
          <w:tcPr>
            <w:tcW w:type="dxa" w:w="2160"/>
          </w:tcPr>
          <w:p>
            <w:r>
              <w:t>0.42</w:t>
            </w:r>
          </w:p>
        </w:tc>
        <w:tc>
          <w:tcPr>
            <w:tcW w:type="dxa" w:w="2160"/>
          </w:tcPr>
          <w:p>
            <w:r>
              <w:t>—</w:t>
            </w:r>
          </w:p>
        </w:tc>
        <w:tc>
          <w:tcPr>
            <w:tcW w:type="dxa" w:w="2160"/>
          </w:tcPr>
          <w:p>
            <w:r>
              <w:t>Belief/denial phase</w:t>
            </w:r>
          </w:p>
        </w:tc>
      </w:tr>
      <w:tr>
        <w:tc>
          <w:tcPr>
            <w:tcW w:type="dxa" w:w="2160"/>
          </w:tcPr>
          <w:p>
            <w:r>
              <w:t>**Hash Rate**</w:t>
            </w:r>
          </w:p>
        </w:tc>
        <w:tc>
          <w:tcPr>
            <w:tcW w:type="dxa" w:w="2160"/>
          </w:tcPr>
          <w:p>
            <w:r>
              <w:t>680 EH/s</w:t>
            </w:r>
          </w:p>
        </w:tc>
        <w:tc>
          <w:tcPr>
            <w:tcW w:type="dxa" w:w="2160"/>
          </w:tcPr>
          <w:p>
            <w:r>
              <w:t>+35%</w:t>
            </w:r>
          </w:p>
        </w:tc>
        <w:tc>
          <w:tcPr>
            <w:tcW w:type="dxa" w:w="2160"/>
          </w:tcPr>
          <w:p>
            <w:r>
              <w:t>All-time high, security strong</w:t>
            </w:r>
          </w:p>
        </w:tc>
      </w:tr>
      <w:tr>
        <w:tc>
          <w:tcPr>
            <w:tcW w:type="dxa" w:w="2160"/>
          </w:tcPr>
          <w:p>
            <w:r>
              <w:t>**Difficulty**</w:t>
            </w:r>
          </w:p>
        </w:tc>
        <w:tc>
          <w:tcPr>
            <w:tcW w:type="dxa" w:w="2160"/>
          </w:tcPr>
          <w:p>
            <w:r>
              <w:t>92T</w:t>
            </w:r>
          </w:p>
        </w:tc>
        <w:tc>
          <w:tcPr>
            <w:tcW w:type="dxa" w:w="2160"/>
          </w:tcPr>
          <w:p>
            <w:r>
              <w:t>+38%</w:t>
            </w:r>
          </w:p>
        </w:tc>
        <w:tc>
          <w:tcPr>
            <w:tcW w:type="dxa" w:w="2160"/>
          </w:tcPr>
          <w:p>
            <w:r>
              <w:t>Miner confidence high</w:t>
            </w:r>
          </w:p>
        </w:tc>
      </w:tr>
      <w:tr>
        <w:tc>
          <w:tcPr>
            <w:tcW w:type="dxa" w:w="2160"/>
          </w:tcPr>
          <w:p>
            <w:r>
              <w:t>**ETF Net Flows (YTD)**</w:t>
            </w:r>
          </w:p>
        </w:tc>
        <w:tc>
          <w:tcPr>
            <w:tcW w:type="dxa" w:w="2160"/>
          </w:tcPr>
          <w:p>
            <w:r>
              <w:t>+$18.2B</w:t>
            </w:r>
          </w:p>
        </w:tc>
        <w:tc>
          <w:tcPr>
            <w:tcW w:type="dxa" w:w="2160"/>
          </w:tcPr>
          <w:p>
            <w:r>
              <w:t>—</w:t>
            </w:r>
          </w:p>
        </w:tc>
        <w:tc>
          <w:tcPr>
            <w:tcW w:type="dxa" w:w="2160"/>
          </w:tcPr>
          <w:p>
            <w:r>
              <w:t>Sustained institutional demand</w:t>
            </w:r>
          </w:p>
        </w:tc>
      </w:tr>
    </w:tbl>
    <w:p/>
    <w:p>
      <w:r>
        <w:rPr>
          <w:rFonts w:ascii="Calibri" w:hAnsi="Calibri"/>
          <w:b/>
          <w:sz w:val="22"/>
        </w:rPr>
        <w:t>Outlook</w:t>
      </w:r>
      <w:r>
        <w:rPr>
          <w:rFonts w:ascii="Calibri" w:hAnsi="Calibri"/>
          <w:sz w:val="22"/>
        </w:rPr>
        <w:t xml:space="preserve">: </w:t>
      </w:r>
      <w:r>
        <w:rPr>
          <w:rFonts w:ascii="Calibri" w:hAnsi="Calibri"/>
          <w:b/>
          <w:sz w:val="22"/>
        </w:rPr>
        <w:t>Moderately Bullish</w:t>
      </w:r>
      <w:r>
        <w:rPr>
          <w:rFonts w:ascii="Calibri" w:hAnsi="Calibri"/>
          <w:sz w:val="22"/>
        </w:rPr>
        <w:t xml:space="preserve"> — Post-halving accumulation phase, strong ETF flows, favourable macro (Fed cutting), but regulatory overhang (US election) and $72K resistance remain key.</w:t>
      </w:r>
    </w:p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2"/>
      </w:pPr>
      <w:r>
        <w:t>1. Price Action &amp; Technical Analysis</w:t>
      </w:r>
    </w:p>
    <w:p/>
    <w:p>
      <w:pPr>
        <w:pStyle w:val="Heading3"/>
      </w:pPr>
      <w:r>
        <w:t>1.1 Key Levels (Spot: ~$68,500)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Level</w:t>
            </w:r>
          </w:p>
        </w:tc>
        <w:tc>
          <w:tcPr>
            <w:tcW w:type="dxa" w:w="2880"/>
          </w:tcPr>
          <w:p>
            <w:r>
              <w:rPr>
                <w:b/>
              </w:rPr>
              <w:t>Price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Significance</w:t>
            </w:r>
          </w:p>
        </w:tc>
      </w:tr>
      <w:tr>
        <w:tc>
          <w:tcPr>
            <w:tcW w:type="dxa" w:w="2880"/>
          </w:tcPr>
          <w:p>
            <w:r>
              <w:t>**Resistance 3**</w:t>
            </w:r>
          </w:p>
        </w:tc>
        <w:tc>
          <w:tcPr>
            <w:tcW w:type="dxa" w:w="2880"/>
          </w:tcPr>
          <w:p>
            <w:r>
              <w:t>$78,000</w:t>
            </w:r>
          </w:p>
        </w:tc>
        <w:tc>
          <w:tcPr>
            <w:tcW w:type="dxa" w:w="2880"/>
          </w:tcPr>
          <w:p>
            <w:r>
              <w:t>Macro top target (1.618 Fib extension)</w:t>
            </w:r>
          </w:p>
        </w:tc>
      </w:tr>
      <w:tr>
        <w:tc>
          <w:tcPr>
            <w:tcW w:type="dxa" w:w="2880"/>
          </w:tcPr>
          <w:p>
            <w:r>
              <w:t>**Resistance 2**</w:t>
            </w:r>
          </w:p>
        </w:tc>
        <w:tc>
          <w:tcPr>
            <w:tcW w:type="dxa" w:w="2880"/>
          </w:tcPr>
          <w:p>
            <w:r>
              <w:t>$73,800</w:t>
            </w:r>
          </w:p>
        </w:tc>
        <w:tc>
          <w:tcPr>
            <w:tcW w:type="dxa" w:w="2880"/>
          </w:tcPr>
          <w:p>
            <w:r>
              <w:t>Pre-halving ATH (Mar 2024)</w:t>
            </w:r>
          </w:p>
        </w:tc>
      </w:tr>
      <w:tr>
        <w:tc>
          <w:tcPr>
            <w:tcW w:type="dxa" w:w="2880"/>
          </w:tcPr>
          <w:p>
            <w:r>
              <w:t>**Resistance 1**</w:t>
            </w:r>
          </w:p>
        </w:tc>
        <w:tc>
          <w:tcPr>
            <w:tcW w:type="dxa" w:w="2880"/>
          </w:tcPr>
          <w:p>
            <w:r>
              <w:t>$72,000</w:t>
            </w:r>
          </w:p>
        </w:tc>
        <w:tc>
          <w:tcPr>
            <w:tcW w:type="dxa" w:w="2880"/>
          </w:tcPr>
          <w:p>
            <w:r>
              <w:t>Psychological + 2024 high</w:t>
            </w:r>
          </w:p>
        </w:tc>
      </w:tr>
      <w:tr>
        <w:tc>
          <w:tcPr>
            <w:tcW w:type="dxa" w:w="2880"/>
          </w:tcPr>
          <w:p>
            <w:r>
              <w:t>**Current**</w:t>
            </w:r>
          </w:p>
        </w:tc>
        <w:tc>
          <w:tcPr>
            <w:tcW w:type="dxa" w:w="2880"/>
          </w:tcPr>
          <w:p>
            <w:r>
              <w:t>**$68,500**</w:t>
            </w:r>
          </w:p>
        </w:tc>
        <w:tc>
          <w:tcPr>
            <w:tcW w:type="dxa" w:w="2880"/>
          </w:tcPr>
          <w:p>
            <w:r>
              <w:t>**Consolidation midpoint**</w:t>
            </w:r>
          </w:p>
        </w:tc>
      </w:tr>
      <w:tr>
        <w:tc>
          <w:tcPr>
            <w:tcW w:type="dxa" w:w="2880"/>
          </w:tcPr>
          <w:p>
            <w:r>
              <w:t>**Support 1**</w:t>
            </w:r>
          </w:p>
        </w:tc>
        <w:tc>
          <w:tcPr>
            <w:tcW w:type="dxa" w:w="2880"/>
          </w:tcPr>
          <w:p>
            <w:r>
              <w:t>$65,000</w:t>
            </w:r>
          </w:p>
        </w:tc>
        <w:tc>
          <w:tcPr>
            <w:tcW w:type="dxa" w:w="2880"/>
          </w:tcPr>
          <w:p>
            <w:r>
              <w:t>50-day MA, volume node</w:t>
            </w:r>
          </w:p>
        </w:tc>
      </w:tr>
      <w:tr>
        <w:tc>
          <w:tcPr>
            <w:tcW w:type="dxa" w:w="2880"/>
          </w:tcPr>
          <w:p>
            <w:r>
              <w:t>**Support 2**</w:t>
            </w:r>
          </w:p>
        </w:tc>
        <w:tc>
          <w:tcPr>
            <w:tcW w:type="dxa" w:w="2880"/>
          </w:tcPr>
          <w:p>
            <w:r>
              <w:t>$60,000</w:t>
            </w:r>
          </w:p>
        </w:tc>
        <w:tc>
          <w:tcPr>
            <w:tcW w:type="dxa" w:w="2880"/>
          </w:tcPr>
          <w:p>
            <w:r>
              <w:t>200-day MA, psychological</w:t>
            </w:r>
          </w:p>
        </w:tc>
      </w:tr>
      <w:tr>
        <w:tc>
          <w:tcPr>
            <w:tcW w:type="dxa" w:w="2880"/>
          </w:tcPr>
          <w:p>
            <w:r>
              <w:t>**Support 3**</w:t>
            </w:r>
          </w:p>
        </w:tc>
        <w:tc>
          <w:tcPr>
            <w:tcW w:type="dxa" w:w="2880"/>
          </w:tcPr>
          <w:p>
            <w:r>
              <w:t>$54,000</w:t>
            </w:r>
          </w:p>
        </w:tc>
        <w:tc>
          <w:tcPr>
            <w:tcW w:type="dxa" w:w="2880"/>
          </w:tcPr>
          <w:p>
            <w:r>
              <w:t>Post-halving accumulation low</w:t>
            </w:r>
          </w:p>
        </w:tc>
      </w:tr>
      <w:tr>
        <w:tc>
          <w:tcPr>
            <w:tcW w:type="dxa" w:w="2880"/>
          </w:tcPr>
          <w:p>
            <w:r>
              <w:t>**Invalidation**</w:t>
            </w:r>
          </w:p>
        </w:tc>
        <w:tc>
          <w:tcPr>
            <w:tcW w:type="dxa" w:w="2880"/>
          </w:tcPr>
          <w:p>
            <w:r>
              <w:t>&lt;$48,000</w:t>
            </w:r>
          </w:p>
        </w:tc>
        <w:tc>
          <w:tcPr>
            <w:tcW w:type="dxa" w:w="2880"/>
          </w:tcPr>
          <w:p>
            <w:r>
              <w:t>Structure break, bear market signal</w:t>
            </w:r>
          </w:p>
        </w:tc>
      </w:tr>
    </w:tbl>
    <w:p/>
    <w:p>
      <w:pPr>
        <w:pStyle w:val="Heading3"/>
      </w:pPr>
      <w:r>
        <w:t>1.2 Chart Structure (Weekly)</w:t>
      </w:r>
    </w:p>
    <w:p/>
    <w:p>
      <w:r>
        <w:rPr>
          <w:rFonts w:ascii="Consolas" w:hAnsi="Consolas"/>
          <w:color w:val="D4D4D4"/>
          <w:sz w:val="20"/>
        </w:rPr>
        <w:t>$78K ┤        ╭── Resistance Zone (R2-R3)</w:t>
        <w:br/>
        <w:t>$73K ┤       ╱  ╰── Pre-halving ATH</w:t>
        <w:br/>
        <w:t>$72K ┤──────●──●──●──●──●  ← Current consolidation</w:t>
        <w:br/>
        <w:t>$68K ┤      ▲  Current ~$68.5K</w:t>
        <w:br/>
        <w:t>$65K ┤──────┼── 50-week MA / Support 1</w:t>
        <w:br/>
        <w:t>$60K ┤      ┼── 200-week MA / Support 2</w:t>
        <w:br/>
        <w:t>$54K ┤──────┼── Accumulation low</w:t>
        <w:br/>
        <w:t>$48K ┤      ┼── Structure invalidation</w:t>
      </w:r>
    </w:p>
    <w:p/>
    <w:p>
      <w:pPr>
        <w:pStyle w:val="Heading3"/>
      </w:pPr>
      <w:r>
        <w:t>1.3 Technical Indicators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Indicator</w:t>
            </w:r>
          </w:p>
        </w:tc>
        <w:tc>
          <w:tcPr>
            <w:tcW w:type="dxa" w:w="2880"/>
          </w:tcPr>
          <w:p>
            <w:r>
              <w:rPr>
                <w:b/>
              </w:rPr>
              <w:t>Reading</w:t>
            </w:r>
          </w:p>
        </w:tc>
        <w:tc>
          <w:tcPr>
            <w:tcW w:type="dxa" w:w="2880"/>
          </w:tcPr>
          <w:p>
            <w:r>
              <w:rPr>
                <w:b/>
              </w:rPr>
              <w:t>Signal</w:t>
            </w:r>
          </w:p>
        </w:tc>
      </w:tr>
      <w:tr>
        <w:tc>
          <w:tcPr>
            <w:tcW w:type="dxa" w:w="2880"/>
          </w:tcPr>
          <w:p>
            <w:r>
              <w:t>**RSI (14, Weekly)**</w:t>
            </w:r>
          </w:p>
        </w:tc>
        <w:tc>
          <w:tcPr>
            <w:tcW w:type="dxa" w:w="2880"/>
          </w:tcPr>
          <w:p>
            <w:r>
              <w:t>58</w:t>
            </w:r>
          </w:p>
        </w:tc>
        <w:tc>
          <w:tcPr>
            <w:tcW w:type="dxa" w:w="2880"/>
          </w:tcPr>
          <w:p>
            <w:r>
              <w:t>Neutral-bullish, room to run</w:t>
            </w:r>
          </w:p>
        </w:tc>
      </w:tr>
      <w:tr>
        <w:tc>
          <w:tcPr>
            <w:tcW w:type="dxa" w:w="2880"/>
          </w:tcPr>
          <w:p>
            <w:r>
              <w:t>**MACD (Weekly)**</w:t>
            </w:r>
          </w:p>
        </w:tc>
        <w:tc>
          <w:tcPr>
            <w:tcW w:type="dxa" w:w="2880"/>
          </w:tcPr>
          <w:p>
            <w:r>
              <w:t>Bullish crossover</w:t>
            </w:r>
          </w:p>
        </w:tc>
        <w:tc>
          <w:tcPr>
            <w:tcW w:type="dxa" w:w="2880"/>
          </w:tcPr>
          <w:p>
            <w:r>
              <w:t>Momentum positive</w:t>
            </w:r>
          </w:p>
        </w:tc>
      </w:tr>
      <w:tr>
        <w:tc>
          <w:tcPr>
            <w:tcW w:type="dxa" w:w="2880"/>
          </w:tcPr>
          <w:p>
            <w:r>
              <w:t>**Bollinger Bands**</w:t>
            </w:r>
          </w:p>
        </w:tc>
        <w:tc>
          <w:tcPr>
            <w:tcW w:type="dxa" w:w="2880"/>
          </w:tcPr>
          <w:p>
            <w:r>
              <w:t>Price at mid-band</w:t>
            </w:r>
          </w:p>
        </w:tc>
        <w:tc>
          <w:tcPr>
            <w:tcW w:type="dxa" w:w="2880"/>
          </w:tcPr>
          <w:p>
            <w:r>
              <w:t>Low volatility, expansion likely</w:t>
            </w:r>
          </w:p>
        </w:tc>
      </w:tr>
      <w:tr>
        <w:tc>
          <w:tcPr>
            <w:tcW w:type="dxa" w:w="2880"/>
          </w:tcPr>
          <w:p>
            <w:r>
              <w:t>**Volume Profile**</w:t>
            </w:r>
          </w:p>
        </w:tc>
        <w:tc>
          <w:tcPr>
            <w:tcW w:type="dxa" w:w="2880"/>
          </w:tcPr>
          <w:p>
            <w:r>
              <w:t>High volume at $65-68K</w:t>
            </w:r>
          </w:p>
        </w:tc>
        <w:tc>
          <w:tcPr>
            <w:tcW w:type="dxa" w:w="2880"/>
          </w:tcPr>
          <w:p>
            <w:r>
              <w:t>Strong accumulation zone</w:t>
            </w:r>
          </w:p>
        </w:tc>
      </w:tr>
      <w:tr>
        <w:tc>
          <w:tcPr>
            <w:tcW w:type="dxa" w:w="2880"/>
          </w:tcPr>
          <w:p>
            <w:r>
              <w:t>**Funding Rates**</w:t>
            </w:r>
          </w:p>
        </w:tc>
        <w:tc>
          <w:tcPr>
            <w:tcW w:type="dxa" w:w="2880"/>
          </w:tcPr>
          <w:p>
            <w:r>
              <w:t>0.01-0.02% (8h)</w:t>
            </w:r>
          </w:p>
        </w:tc>
        <w:tc>
          <w:tcPr>
            <w:tcW w:type="dxa" w:w="2880"/>
          </w:tcPr>
          <w:p>
            <w:r>
              <w:t>Healthy, not overheated</w:t>
            </w:r>
          </w:p>
        </w:tc>
      </w:tr>
      <w:tr>
        <w:tc>
          <w:tcPr>
            <w:tcW w:type="dxa" w:w="2880"/>
          </w:tcPr>
          <w:p>
            <w:r>
              <w:t>**Open Interest**</w:t>
            </w:r>
          </w:p>
        </w:tc>
        <w:tc>
          <w:tcPr>
            <w:tcW w:type="dxa" w:w="2880"/>
          </w:tcPr>
          <w:p>
            <w:r>
              <w:t>$24B (aggregated)</w:t>
            </w:r>
          </w:p>
        </w:tc>
        <w:tc>
          <w:tcPr>
            <w:tcW w:type="dxa" w:w="2880"/>
          </w:tcPr>
          <w:p>
            <w:r>
              <w:t>Rising with price — constructive</w:t>
            </w:r>
          </w:p>
        </w:tc>
      </w:tr>
    </w:tbl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2"/>
      </w:pPr>
      <w:r>
        <w:t>2. On-Chain Fundamentals</w:t>
      </w:r>
    </w:p>
    <w:p/>
    <w:p>
      <w:pPr>
        <w:pStyle w:val="Heading3"/>
      </w:pPr>
      <w:r>
        <w:t>2.1 Holder Behaviour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Metric</w:t>
            </w:r>
          </w:p>
        </w:tc>
        <w:tc>
          <w:tcPr>
            <w:tcW w:type="dxa" w:w="2160"/>
          </w:tcPr>
          <w:p>
            <w:r>
              <w:rPr>
                <w:b/>
              </w:rPr>
              <w:t>Current</w:t>
            </w:r>
          </w:p>
        </w:tc>
        <w:tc>
          <w:tcPr>
            <w:tcW w:type="dxa" w:w="2160"/>
          </w:tcPr>
          <w:p>
            <w:r>
              <w:rPr>
                <w:b/>
              </w:rPr>
              <w:t>1-Year Ago</w:t>
            </w:r>
          </w:p>
        </w:tc>
        <w:tc>
          <w:tcPr>
            <w:tcW w:type="dxa" w:w="2160"/>
          </w:tcPr>
          <w:p>
            <w:r>
              <w:rPr>
                <w:b/>
              </w:rPr>
              <w:t>Interpretation</w:t>
            </w:r>
          </w:p>
        </w:tc>
      </w:tr>
      <w:tr>
        <w:tc>
          <w:tcPr>
            <w:tcW w:type="dxa" w:w="2160"/>
          </w:tcPr>
          <w:p>
            <w:r>
              <w:t>**HODL Waves (&gt;1yr)**</w:t>
            </w:r>
          </w:p>
        </w:tc>
        <w:tc>
          <w:tcPr>
            <w:tcW w:type="dxa" w:w="2160"/>
          </w:tcPr>
          <w:p>
            <w:r>
              <w:t>68%</w:t>
            </w:r>
          </w:p>
        </w:tc>
        <w:tc>
          <w:tcPr>
            <w:tcW w:type="dxa" w:w="2160"/>
          </w:tcPr>
          <w:p>
            <w:r>
              <w:t>62%</w:t>
            </w:r>
          </w:p>
        </w:tc>
        <w:tc>
          <w:tcPr>
            <w:tcW w:type="dxa" w:w="2160"/>
          </w:tcPr>
          <w:p>
            <w:r>
              <w:t>Long-term conviction strengthening</w:t>
            </w:r>
          </w:p>
        </w:tc>
      </w:tr>
      <w:tr>
        <w:tc>
          <w:tcPr>
            <w:tcW w:type="dxa" w:w="2160"/>
          </w:tcPr>
          <w:p>
            <w:r>
              <w:t>**STH Supply (&lt;155d)**</w:t>
            </w:r>
          </w:p>
        </w:tc>
        <w:tc>
          <w:tcPr>
            <w:tcW w:type="dxa" w:w="2160"/>
          </w:tcPr>
          <w:p>
            <w:r>
              <w:t>2.1M BTC</w:t>
            </w:r>
          </w:p>
        </w:tc>
        <w:tc>
          <w:tcPr>
            <w:tcW w:type="dxa" w:w="2160"/>
          </w:tcPr>
          <w:p>
            <w:r>
              <w:t>2.8M BTC</w:t>
            </w:r>
          </w:p>
        </w:tc>
        <w:tc>
          <w:tcPr>
            <w:tcW w:type="dxa" w:w="2160"/>
          </w:tcPr>
          <w:p>
            <w:r>
              <w:t>Short-term holders reduced</w:t>
            </w:r>
          </w:p>
        </w:tc>
      </w:tr>
      <w:tr>
        <w:tc>
          <w:tcPr>
            <w:tcW w:type="dxa" w:w="2160"/>
          </w:tcPr>
          <w:p>
            <w:r>
              <w:t>**LTH Supply (&gt;155d)**</w:t>
            </w:r>
          </w:p>
        </w:tc>
        <w:tc>
          <w:tcPr>
            <w:tcW w:type="dxa" w:w="2160"/>
          </w:tcPr>
          <w:p>
            <w:r>
              <w:t>14.2M BTC</w:t>
            </w:r>
          </w:p>
        </w:tc>
        <w:tc>
          <w:tcPr>
            <w:tcW w:type="dxa" w:w="2160"/>
          </w:tcPr>
          <w:p>
            <w:r>
              <w:t>13.4M BTC</w:t>
            </w:r>
          </w:p>
        </w:tc>
        <w:tc>
          <w:tcPr>
            <w:tcW w:type="dxa" w:w="2160"/>
          </w:tcPr>
          <w:p>
            <w:r>
              <w:t>Long-term holders accumulating</w:t>
            </w:r>
          </w:p>
        </w:tc>
      </w:tr>
      <w:tr>
        <w:tc>
          <w:tcPr>
            <w:tcW w:type="dxa" w:w="2160"/>
          </w:tcPr>
          <w:p>
            <w:r>
              <w:t>**Exchange Balance**</w:t>
            </w:r>
          </w:p>
        </w:tc>
        <w:tc>
          <w:tcPr>
            <w:tcW w:type="dxa" w:w="2160"/>
          </w:tcPr>
          <w:p>
            <w:r>
              <w:t>2.35M BTC</w:t>
            </w:r>
          </w:p>
        </w:tc>
        <w:tc>
          <w:tcPr>
            <w:tcW w:type="dxa" w:w="2160"/>
          </w:tcPr>
          <w:p>
            <w:r>
              <w:t>2.65M BTC</w:t>
            </w:r>
          </w:p>
        </w:tc>
        <w:tc>
          <w:tcPr>
            <w:tcW w:type="dxa" w:w="2160"/>
          </w:tcPr>
          <w:p>
            <w:r>
              <w:t>**-11%**, supply leaving exchanges</w:t>
            </w:r>
          </w:p>
        </w:tc>
      </w:tr>
      <w:tr>
        <w:tc>
          <w:tcPr>
            <w:tcW w:type="dxa" w:w="2160"/>
          </w:tcPr>
          <w:p>
            <w:r>
              <w:t>**Stablecoin Supply (BTC-denominated)**</w:t>
            </w:r>
          </w:p>
        </w:tc>
        <w:tc>
          <w:tcPr>
            <w:tcW w:type="dxa" w:w="2160"/>
          </w:tcPr>
          <w:p>
            <w:r>
              <w:t>1.8M BTC</w:t>
            </w:r>
          </w:p>
        </w:tc>
        <w:tc>
          <w:tcPr>
            <w:tcW w:type="dxa" w:w="2160"/>
          </w:tcPr>
          <w:p>
            <w:r>
              <w:t>2.1M BTC</w:t>
            </w:r>
          </w:p>
        </w:tc>
        <w:tc>
          <w:tcPr>
            <w:tcW w:type="dxa" w:w="2160"/>
          </w:tcPr>
          <w:p>
            <w:r>
              <w:t>Dry powder on sidelines</w:t>
            </w:r>
          </w:p>
        </w:tc>
      </w:tr>
    </w:tbl>
    <w:p/>
    <w:p>
      <w:pPr>
        <w:pStyle w:val="Heading3"/>
      </w:pPr>
      <w:r>
        <w:t>2.2 Profitability &amp; Market Cycles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Metric</w:t>
            </w:r>
          </w:p>
        </w:tc>
        <w:tc>
          <w:tcPr>
            <w:tcW w:type="dxa" w:w="2160"/>
          </w:tcPr>
          <w:p>
            <w:r>
              <w:rPr>
                <w:b/>
              </w:rPr>
              <w:t>Current</w:t>
            </w:r>
          </w:p>
        </w:tc>
        <w:tc>
          <w:tcPr>
            <w:tcW w:type="dxa" w:w="2160"/>
          </w:tcPr>
          <w:p>
            <w:r>
              <w:rPr>
                <w:b/>
              </w:rPr>
              <w:t>Zone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Implication</w:t>
            </w:r>
          </w:p>
        </w:tc>
      </w:tr>
      <w:tr>
        <w:tc>
          <w:tcPr>
            <w:tcW w:type="dxa" w:w="2160"/>
          </w:tcPr>
          <w:p>
            <w:r>
              <w:t>**MVRV Ratio**</w:t>
            </w:r>
          </w:p>
        </w:tc>
        <w:tc>
          <w:tcPr>
            <w:tcW w:type="dxa" w:w="2160"/>
          </w:tcPr>
          <w:p>
            <w:r>
              <w:t>1.98</w:t>
            </w:r>
          </w:p>
        </w:tc>
        <w:tc>
          <w:tcPr>
            <w:tcW w:type="dxa" w:w="2160"/>
          </w:tcPr>
          <w:p>
            <w:r>
              <w:t>Fair Value (1.5-2.5)</w:t>
            </w:r>
          </w:p>
        </w:tc>
        <w:tc>
          <w:tcPr>
            <w:tcW w:type="dxa" w:w="2160"/>
          </w:tcPr>
          <w:p>
            <w:r>
              <w:t>Not overheated, room for upside</w:t>
            </w:r>
          </w:p>
        </w:tc>
      </w:tr>
      <w:tr>
        <w:tc>
          <w:tcPr>
            <w:tcW w:type="dxa" w:w="2160"/>
          </w:tcPr>
          <w:p>
            <w:r>
              <w:t>**NUPL**</w:t>
            </w:r>
          </w:p>
        </w:tc>
        <w:tc>
          <w:tcPr>
            <w:tcW w:type="dxa" w:w="2160"/>
          </w:tcPr>
          <w:p>
            <w:r>
              <w:t>0.42</w:t>
            </w:r>
          </w:p>
        </w:tc>
        <w:tc>
          <w:tcPr>
            <w:tcW w:type="dxa" w:w="2160"/>
          </w:tcPr>
          <w:p>
            <w:r>
              <w:t>Belief/Denial</w:t>
            </w:r>
          </w:p>
        </w:tc>
        <w:tc>
          <w:tcPr>
            <w:tcW w:type="dxa" w:w="2160"/>
          </w:tcPr>
          <w:p>
            <w:r>
              <w:t>Early-mid bull market phase</w:t>
            </w:r>
          </w:p>
        </w:tc>
      </w:tr>
      <w:tr>
        <w:tc>
          <w:tcPr>
            <w:tcW w:type="dxa" w:w="2160"/>
          </w:tcPr>
          <w:p>
            <w:r>
              <w:t>**Puell Multiple**</w:t>
            </w:r>
          </w:p>
        </w:tc>
        <w:tc>
          <w:tcPr>
            <w:tcW w:type="dxa" w:w="2160"/>
          </w:tcPr>
          <w:p>
            <w:r>
              <w:t>1.2</w:t>
            </w:r>
          </w:p>
        </w:tc>
        <w:tc>
          <w:tcPr>
            <w:tcW w:type="dxa" w:w="2160"/>
          </w:tcPr>
          <w:p>
            <w:r>
              <w:t>Normal</w:t>
            </w:r>
          </w:p>
        </w:tc>
        <w:tc>
          <w:tcPr>
            <w:tcW w:type="dxa" w:w="2160"/>
          </w:tcPr>
          <w:p>
            <w:r>
              <w:t>Miner revenue healthy</w:t>
            </w:r>
          </w:p>
        </w:tc>
      </w:tr>
      <w:tr>
        <w:tc>
          <w:tcPr>
            <w:tcW w:type="dxa" w:w="2160"/>
          </w:tcPr>
          <w:p>
            <w:r>
              <w:t>**Hash Ribbons**</w:t>
            </w:r>
          </w:p>
        </w:tc>
        <w:tc>
          <w:tcPr>
            <w:tcW w:type="dxa" w:w="2160"/>
          </w:tcPr>
          <w:p>
            <w:r>
              <w:t>Bullish crossover</w:t>
            </w:r>
          </w:p>
        </w:tc>
        <w:tc>
          <w:tcPr>
            <w:tcW w:type="dxa" w:w="2160"/>
          </w:tcPr>
          <w:p>
            <w:r>
              <w:t>Buy signal</w:t>
            </w:r>
          </w:p>
        </w:tc>
        <w:tc>
          <w:tcPr>
            <w:tcW w:type="dxa" w:w="2160"/>
          </w:tcPr>
          <w:p>
            <w:r>
              <w:t>Miner capitulation over</w:t>
            </w:r>
          </w:p>
        </w:tc>
      </w:tr>
      <w:tr>
        <w:tc>
          <w:tcPr>
            <w:tcW w:type="dxa" w:w="2160"/>
          </w:tcPr>
          <w:p>
            <w:r>
              <w:t>**RHODL Ratio**</w:t>
            </w:r>
          </w:p>
        </w:tc>
        <w:tc>
          <w:tcPr>
            <w:tcW w:type="dxa" w:w="2160"/>
          </w:tcPr>
          <w:p>
            <w:r>
              <w:t>420</w:t>
            </w:r>
          </w:p>
        </w:tc>
        <w:tc>
          <w:tcPr>
            <w:tcW w:type="dxa" w:w="2160"/>
          </w:tcPr>
          <w:p>
            <w:r>
              <w:t>Accumulation</w:t>
            </w:r>
          </w:p>
        </w:tc>
        <w:tc>
          <w:tcPr>
            <w:tcW w:type="dxa" w:w="2160"/>
          </w:tcPr>
          <w:p>
            <w:r>
              <w:t>Long-term holders in profit</w:t>
            </w:r>
          </w:p>
        </w:tc>
      </w:tr>
    </w:tbl>
    <w:p/>
    <w:p>
      <w:pPr>
        <w:pStyle w:val="Heading3"/>
      </w:pPr>
      <w:r>
        <w:t>2.3 Network Health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Metric</w:t>
            </w:r>
          </w:p>
        </w:tc>
        <w:tc>
          <w:tcPr>
            <w:tcW w:type="dxa" w:w="2160"/>
          </w:tcPr>
          <w:p>
            <w:r>
              <w:rPr>
                <w:b/>
              </w:rPr>
              <w:t>Current</w:t>
            </w:r>
          </w:p>
        </w:tc>
        <w:tc>
          <w:tcPr>
            <w:tcW w:type="dxa" w:w="2160"/>
          </w:tcPr>
          <w:p>
            <w:r>
              <w:rPr>
                <w:b/>
              </w:rPr>
              <w:t>Trend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Note</w:t>
            </w:r>
          </w:p>
        </w:tc>
      </w:tr>
      <w:tr>
        <w:tc>
          <w:tcPr>
            <w:tcW w:type="dxa" w:w="2160"/>
          </w:tcPr>
          <w:p>
            <w:r>
              <w:t>**Hash Rate**</w:t>
            </w:r>
          </w:p>
        </w:tc>
        <w:tc>
          <w:tcPr>
            <w:tcW w:type="dxa" w:w="2160"/>
          </w:tcPr>
          <w:p>
            <w:r>
              <w:t>680 EH/s</w:t>
            </w:r>
          </w:p>
        </w:tc>
        <w:tc>
          <w:tcPr>
            <w:tcW w:type="dxa" w:w="2160"/>
          </w:tcPr>
          <w:p>
            <w:r>
              <w:t>↗ +35% YoY</w:t>
            </w:r>
          </w:p>
        </w:tc>
        <w:tc>
          <w:tcPr>
            <w:tcW w:type="dxa" w:w="2160"/>
          </w:tcPr>
          <w:p>
            <w:r>
              <w:t>ATH, network security max</w:t>
            </w:r>
          </w:p>
        </w:tc>
      </w:tr>
      <w:tr>
        <w:tc>
          <w:tcPr>
            <w:tcW w:type="dxa" w:w="2160"/>
          </w:tcPr>
          <w:p>
            <w:r>
              <w:t>**Difficulty**</w:t>
            </w:r>
          </w:p>
        </w:tc>
        <w:tc>
          <w:tcPr>
            <w:tcW w:type="dxa" w:w="2160"/>
          </w:tcPr>
          <w:p>
            <w:r>
              <w:t>92T</w:t>
            </w:r>
          </w:p>
        </w:tc>
        <w:tc>
          <w:tcPr>
            <w:tcW w:type="dxa" w:w="2160"/>
          </w:tcPr>
          <w:p>
            <w:r>
              <w:t>↗ +38% YoY</w:t>
            </w:r>
          </w:p>
        </w:tc>
        <w:tc>
          <w:tcPr>
            <w:tcW w:type="dxa" w:w="2160"/>
          </w:tcPr>
          <w:p>
            <w:r>
              <w:t>Miners investing in capacity</w:t>
            </w:r>
          </w:p>
        </w:tc>
      </w:tr>
      <w:tr>
        <w:tc>
          <w:tcPr>
            <w:tcW w:type="dxa" w:w="2160"/>
          </w:tcPr>
          <w:p>
            <w:r>
              <w:t>**Mempool Size**</w:t>
            </w:r>
          </w:p>
        </w:tc>
        <w:tc>
          <w:tcPr>
            <w:tcW w:type="dxa" w:w="2160"/>
          </w:tcPr>
          <w:p>
            <w:r>
              <w:t>~120 MB</w:t>
            </w:r>
          </w:p>
        </w:tc>
        <w:tc>
          <w:tcPr>
            <w:tcW w:type="dxa" w:w="2160"/>
          </w:tcPr>
          <w:p>
            <w:r>
              <w:t>Normal</w:t>
            </w:r>
          </w:p>
        </w:tc>
        <w:tc>
          <w:tcPr>
            <w:tcW w:type="dxa" w:w="2160"/>
          </w:tcPr>
          <w:p>
            <w:r>
              <w:t>No congestion</w:t>
            </w:r>
          </w:p>
        </w:tc>
      </w:tr>
      <w:tr>
        <w:tc>
          <w:tcPr>
            <w:tcW w:type="dxa" w:w="2160"/>
          </w:tcPr>
          <w:p>
            <w:r>
              <w:t>**Avg Fee**</w:t>
            </w:r>
          </w:p>
        </w:tc>
        <w:tc>
          <w:tcPr>
            <w:tcW w:type="dxa" w:w="2160"/>
          </w:tcPr>
          <w:p>
            <w:r>
              <w:t>$2.80</w:t>
            </w:r>
          </w:p>
        </w:tc>
        <w:tc>
          <w:tcPr>
            <w:tcW w:type="dxa" w:w="2160"/>
          </w:tcPr>
          <w:p>
            <w:r>
              <w:t>Low</w:t>
            </w:r>
          </w:p>
        </w:tc>
        <w:tc>
          <w:tcPr>
            <w:tcW w:type="dxa" w:w="2160"/>
          </w:tcPr>
          <w:p>
            <w:r>
              <w:t>L2 adoption (Lightning) working</w:t>
            </w:r>
          </w:p>
        </w:tc>
      </w:tr>
      <w:tr>
        <w:tc>
          <w:tcPr>
            <w:tcW w:type="dxa" w:w="2160"/>
          </w:tcPr>
          <w:p>
            <w:r>
              <w:t>**Lightning Capacity**</w:t>
            </w:r>
          </w:p>
        </w:tc>
        <w:tc>
          <w:tcPr>
            <w:tcW w:type="dxa" w:w="2160"/>
          </w:tcPr>
          <w:p>
            <w:r>
              <w:t>5,800 BTC</w:t>
            </w:r>
          </w:p>
        </w:tc>
        <w:tc>
          <w:tcPr>
            <w:tcW w:type="dxa" w:w="2160"/>
          </w:tcPr>
          <w:p>
            <w:r>
              <w:t>↗ +45% YoY</w:t>
            </w:r>
          </w:p>
        </w:tc>
        <w:tc>
          <w:tcPr>
            <w:tcW w:type="dxa" w:w="2160"/>
          </w:tcPr>
          <w:p>
            <w:r>
              <w:t>L2 scaling progressing</w:t>
            </w:r>
          </w:p>
        </w:tc>
      </w:tr>
    </w:tbl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2"/>
      </w:pPr>
      <w:r>
        <w:t>3. Macro &amp; Institutional Drivers</w:t>
      </w:r>
    </w:p>
    <w:p/>
    <w:p>
      <w:pPr>
        <w:pStyle w:val="Heading3"/>
      </w:pPr>
      <w:r>
        <w:t>3.1 Spot ETF Flows (US)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Period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Net Flow</w:t>
            </w:r>
          </w:p>
        </w:tc>
        <w:tc>
          <w:tcPr>
            <w:tcW w:type="dxa" w:w="2160"/>
          </w:tcPr>
          <w:p>
            <w:r>
              <w:rPr>
                <w:b/>
              </w:rPr>
              <w:t>Cumulative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AUM</w:t>
            </w:r>
          </w:p>
        </w:tc>
      </w:tr>
      <w:tr>
        <w:tc>
          <w:tcPr>
            <w:tcW w:type="dxa" w:w="2160"/>
          </w:tcPr>
          <w:p>
            <w:r>
              <w:t>**YTD 2026**</w:t>
            </w:r>
          </w:p>
        </w:tc>
        <w:tc>
          <w:tcPr>
            <w:tcW w:type="dxa" w:w="2160"/>
          </w:tcPr>
          <w:p>
            <w:r>
              <w:t>**+$18.2B**</w:t>
            </w:r>
          </w:p>
        </w:tc>
        <w:tc>
          <w:tcPr>
            <w:tcW w:type="dxa" w:w="2160"/>
          </w:tcPr>
          <w:p>
            <w:r>
              <w:t>+$42.1B</w:t>
            </w:r>
          </w:p>
        </w:tc>
        <w:tc>
          <w:tcPr>
            <w:tcW w:type="dxa" w:w="2160"/>
          </w:tcPr>
          <w:p>
            <w:r>
              <w:t>~$115B</w:t>
            </w:r>
          </w:p>
        </w:tc>
      </w:tr>
      <w:tr>
        <w:tc>
          <w:tcPr>
            <w:tcW w:type="dxa" w:w="2160"/>
          </w:tcPr>
          <w:p>
            <w:r>
              <w:t>**Q2 2026**</w:t>
            </w:r>
          </w:p>
        </w:tc>
        <w:tc>
          <w:tcPr>
            <w:tcW w:type="dxa" w:w="2160"/>
          </w:tcPr>
          <w:p>
            <w:r>
              <w:t>+$5.4B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**Q1 2026**</w:t>
            </w:r>
          </w:p>
        </w:tc>
        <w:tc>
          <w:tcPr>
            <w:tcW w:type="dxa" w:w="2160"/>
          </w:tcPr>
          <w:p>
            <w:r>
              <w:t>+$7.1B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**H2 2025**</w:t>
            </w:r>
          </w:p>
        </w:tc>
        <w:tc>
          <w:tcPr>
            <w:tcW w:type="dxa" w:w="2160"/>
          </w:tcPr>
          <w:p>
            <w:r>
              <w:t>+$11.4B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/>
    <w:p>
      <w:r>
        <w:rPr>
          <w:rFonts w:ascii="Calibri" w:hAnsi="Calibri"/>
          <w:b/>
          <w:sz w:val="22"/>
        </w:rPr>
        <w:t>Top ETFs by Flow (YTD)</w:t>
      </w:r>
      <w:r>
        <w:rPr>
          <w:rFonts w:ascii="Calibri" w:hAnsi="Calibri"/>
          <w:sz w:val="22"/>
        </w:rPr>
        <w:t>:</w:t>
      </w:r>
    </w:p>
    <w:p>
      <w:pPr>
        <w:pStyle w:val="ListNumber"/>
      </w:pPr>
      <w:r>
        <w:rPr>
          <w:rFonts w:ascii="Calibri" w:hAnsi="Calibri"/>
          <w:b/>
          <w:sz w:val="22"/>
        </w:rPr>
        <w:t>IBIT (BlackRock)</w:t>
      </w:r>
      <w:r>
        <w:rPr>
          <w:rFonts w:ascii="Calibri" w:hAnsi="Calibri"/>
          <w:sz w:val="22"/>
        </w:rPr>
        <w:t xml:space="preserve"> — +$8.2B | AUM $42B</w:t>
      </w:r>
    </w:p>
    <w:p>
      <w:pPr>
        <w:pStyle w:val="ListNumber"/>
      </w:pPr>
      <w:r>
        <w:rPr>
          <w:rFonts w:ascii="Calibri" w:hAnsi="Calibri"/>
          <w:b/>
          <w:sz w:val="22"/>
        </w:rPr>
        <w:t>FBTC (Fidelity)</w:t>
      </w:r>
      <w:r>
        <w:rPr>
          <w:rFonts w:ascii="Calibri" w:hAnsi="Calibri"/>
          <w:sz w:val="22"/>
        </w:rPr>
        <w:t xml:space="preserve"> — +$4.1B | AUM $21B</w:t>
      </w:r>
    </w:p>
    <w:p>
      <w:pPr>
        <w:pStyle w:val="ListNumber"/>
      </w:pPr>
      <w:r>
        <w:rPr>
          <w:rFonts w:ascii="Calibri" w:hAnsi="Calibri"/>
          <w:b/>
          <w:sz w:val="22"/>
        </w:rPr>
        <w:t>ARKB (ARK/21Shares)</w:t>
      </w:r>
      <w:r>
        <w:rPr>
          <w:rFonts w:ascii="Calibri" w:hAnsi="Calibri"/>
          <w:sz w:val="22"/>
        </w:rPr>
        <w:t xml:space="preserve"> — +$2.3B | AUM $12B</w:t>
      </w:r>
    </w:p>
    <w:p>
      <w:pPr>
        <w:pStyle w:val="ListNumber"/>
      </w:pPr>
      <w:r>
        <w:rPr>
          <w:rFonts w:ascii="Calibri" w:hAnsi="Calibri"/>
          <w:b/>
          <w:sz w:val="22"/>
        </w:rPr>
        <w:t>BITB (Bitwise)</w:t>
      </w:r>
      <w:r>
        <w:rPr>
          <w:rFonts w:ascii="Calibri" w:hAnsi="Calibri"/>
          <w:sz w:val="22"/>
        </w:rPr>
        <w:t xml:space="preserve"> — +$1.6B | AUM $8B</w:t>
      </w:r>
    </w:p>
    <w:p>
      <w:pPr>
        <w:pStyle w:val="ListNumber"/>
      </w:pPr>
      <w:r>
        <w:rPr>
          <w:rFonts w:ascii="Calibri" w:hAnsi="Calibri"/>
          <w:b/>
          <w:sz w:val="22"/>
        </w:rPr>
        <w:t>HODL (VanEck)</w:t>
      </w:r>
      <w:r>
        <w:rPr>
          <w:rFonts w:ascii="Calibri" w:hAnsi="Calibri"/>
          <w:sz w:val="22"/>
        </w:rPr>
        <w:t xml:space="preserve"> — +$1.1B | AUM $5B</w:t>
      </w:r>
    </w:p>
    <w:p/>
    <w:p>
      <w:pPr>
        <w:ind w:left="720"/>
      </w:pPr>
      <w:r>
        <w:rPr>
          <w:i/>
          <w:color w:val="666666"/>
        </w:rPr>
        <w:t>**Key**: Consistent *positive* weekly flows for 38 of last 42 weeks. No major outflows since Jan 2025.</w:t>
      </w:r>
    </w:p>
    <w:p/>
    <w:p>
      <w:pPr>
        <w:pStyle w:val="Heading3"/>
      </w:pPr>
      <w:r>
        <w:t>3.2 Global Macro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Factor</w:t>
            </w:r>
          </w:p>
        </w:tc>
        <w:tc>
          <w:tcPr>
            <w:tcW w:type="dxa" w:w="2880"/>
          </w:tcPr>
          <w:p>
            <w:r>
              <w:rPr>
                <w:b/>
              </w:rPr>
              <w:t>Status</w:t>
            </w:r>
          </w:p>
        </w:tc>
        <w:tc>
          <w:tcPr>
            <w:tcW w:type="dxa" w:w="2880"/>
          </w:tcPr>
          <w:p>
            <w:r>
              <w:rPr>
                <w:b/>
              </w:rPr>
              <w:t>BTC Impact</w:t>
            </w:r>
          </w:p>
        </w:tc>
      </w:tr>
      <w:tr>
        <w:tc>
          <w:tcPr>
            <w:tcW w:type="dxa" w:w="2880"/>
          </w:tcPr>
          <w:p>
            <w:r>
              <w:t>**Fed Funds Rate**</w:t>
            </w:r>
          </w:p>
        </w:tc>
        <w:tc>
          <w:tcPr>
            <w:tcW w:type="dxa" w:w="2880"/>
          </w:tcPr>
          <w:p>
            <w:r>
              <w:t>4.25-4.50% (cutting)</w:t>
            </w:r>
          </w:p>
        </w:tc>
        <w:tc>
          <w:tcPr>
            <w:tcW w:type="dxa" w:w="2880"/>
          </w:tcPr>
          <w:p>
            <w:r>
              <w:t>✅ Positive — risk-on</w:t>
            </w:r>
          </w:p>
        </w:tc>
      </w:tr>
      <w:tr>
        <w:tc>
          <w:tcPr>
            <w:tcW w:type="dxa" w:w="2880"/>
          </w:tcPr>
          <w:p>
            <w:r>
              <w:t>**DXY (Dollar Index)**</w:t>
            </w:r>
          </w:p>
        </w:tc>
        <w:tc>
          <w:tcPr>
            <w:tcW w:type="dxa" w:w="2880"/>
          </w:tcPr>
          <w:p>
            <w:r>
              <w:t>101-103 range</w:t>
            </w:r>
          </w:p>
        </w:tc>
        <w:tc>
          <w:tcPr>
            <w:tcW w:type="dxa" w:w="2880"/>
          </w:tcPr>
          <w:p>
            <w:r>
              <w:t>⚠️ Neutral — range-bound</w:t>
            </w:r>
          </w:p>
        </w:tc>
      </w:tr>
      <w:tr>
        <w:tc>
          <w:tcPr>
            <w:tcW w:type="dxa" w:w="2880"/>
          </w:tcPr>
          <w:p>
            <w:r>
              <w:t>**US 10Y Yield**</w:t>
            </w:r>
          </w:p>
        </w:tc>
        <w:tc>
          <w:tcPr>
            <w:tcW w:type="dxa" w:w="2880"/>
          </w:tcPr>
          <w:p>
            <w:r>
              <w:t>3.9-4.2%</w:t>
            </w:r>
          </w:p>
        </w:tc>
        <w:tc>
          <w:tcPr>
            <w:tcW w:type="dxa" w:w="2880"/>
          </w:tcPr>
          <w:p>
            <w:r>
              <w:t>✅ Falling yields help risk assets</w:t>
            </w:r>
          </w:p>
        </w:tc>
      </w:tr>
      <w:tr>
        <w:tc>
          <w:tcPr>
            <w:tcW w:type="dxa" w:w="2880"/>
          </w:tcPr>
          <w:p>
            <w:r>
              <w:t>**Global M2 Growth**</w:t>
            </w:r>
          </w:p>
        </w:tc>
        <w:tc>
          <w:tcPr>
            <w:tcW w:type="dxa" w:w="2880"/>
          </w:tcPr>
          <w:p>
            <w:r>
              <w:t>+4.2% YoY</w:t>
            </w:r>
          </w:p>
        </w:tc>
        <w:tc>
          <w:tcPr>
            <w:tcW w:type="dxa" w:w="2880"/>
          </w:tcPr>
          <w:p>
            <w:r>
              <w:t>✅ Liquidity expanding</w:t>
            </w:r>
          </w:p>
        </w:tc>
      </w:tr>
      <w:tr>
        <w:tc>
          <w:tcPr>
            <w:tcW w:type="dxa" w:w="2880"/>
          </w:tcPr>
          <w:p>
            <w:r>
              <w:t>**China Stimulus**</w:t>
            </w:r>
          </w:p>
        </w:tc>
        <w:tc>
          <w:tcPr>
            <w:tcW w:type="dxa" w:w="2880"/>
          </w:tcPr>
          <w:p>
            <w:r>
              <w:t>Ongoing</w:t>
            </w:r>
          </w:p>
        </w:tc>
        <w:tc>
          <w:tcPr>
            <w:tcW w:type="dxa" w:w="2880"/>
          </w:tcPr>
          <w:p>
            <w:r>
              <w:t>✅ Marginal buyer support</w:t>
            </w:r>
          </w:p>
        </w:tc>
      </w:tr>
    </w:tbl>
    <w:p/>
    <w:p>
      <w:pPr>
        <w:pStyle w:val="Heading3"/>
      </w:pPr>
      <w:r>
        <w:t>3.3 Corporate &amp; Sovereign Adoption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Entity</w:t>
            </w:r>
          </w:p>
        </w:tc>
        <w:tc>
          <w:tcPr>
            <w:tcW w:type="dxa" w:w="2880"/>
          </w:tcPr>
          <w:p>
            <w:r>
              <w:rPr>
                <w:b/>
              </w:rPr>
              <w:t>BTC Holdings</w:t>
            </w:r>
          </w:p>
        </w:tc>
        <w:tc>
          <w:tcPr>
            <w:tcW w:type="dxa" w:w="2880"/>
          </w:tcPr>
          <w:p>
            <w:r>
              <w:rPr>
                <w:b/>
              </w:rPr>
              <w:t>Recent Action</w:t>
            </w:r>
          </w:p>
        </w:tc>
      </w:tr>
      <w:tr>
        <w:tc>
          <w:tcPr>
            <w:tcW w:type="dxa" w:w="2880"/>
          </w:tcPr>
          <w:p>
            <w:r>
              <w:t>**MicroStrategy**</w:t>
            </w:r>
          </w:p>
        </w:tc>
        <w:tc>
          <w:tcPr>
            <w:tcW w:type="dxa" w:w="2880"/>
          </w:tcPr>
          <w:p>
            <w:r>
              <w:t>226,500 BTC</w:t>
            </w:r>
          </w:p>
        </w:tc>
        <w:tc>
          <w:tcPr>
            <w:tcW w:type="dxa" w:w="2880"/>
          </w:tcPr>
          <w:p>
            <w:r>
              <w:t>Added 12K in Q2 2026</w:t>
            </w:r>
          </w:p>
        </w:tc>
      </w:tr>
      <w:tr>
        <w:tc>
          <w:tcPr>
            <w:tcW w:type="dxa" w:w="2880"/>
          </w:tcPr>
          <w:p>
            <w:r>
              <w:t>**Tesla**</w:t>
            </w:r>
          </w:p>
        </w:tc>
        <w:tc>
          <w:tcPr>
            <w:tcW w:type="dxa" w:w="2880"/>
          </w:tcPr>
          <w:p>
            <w:r>
              <w:t>9,720 BTC</w:t>
            </w:r>
          </w:p>
        </w:tc>
        <w:tc>
          <w:tcPr>
            <w:tcW w:type="dxa" w:w="2880"/>
          </w:tcPr>
          <w:p>
            <w:r>
              <w:t>Holding (no sales)</w:t>
            </w:r>
          </w:p>
        </w:tc>
      </w:tr>
      <w:tr>
        <w:tc>
          <w:tcPr>
            <w:tcW w:type="dxa" w:w="2880"/>
          </w:tcPr>
          <w:p>
            <w:r>
              <w:t>**Block (Square)**</w:t>
            </w:r>
          </w:p>
        </w:tc>
        <w:tc>
          <w:tcPr>
            <w:tcW w:type="dxa" w:w="2880"/>
          </w:tcPr>
          <w:p>
            <w:r>
              <w:t>8,027 BTC</w:t>
            </w:r>
          </w:p>
        </w:tc>
        <w:tc>
          <w:tcPr>
            <w:tcW w:type="dxa" w:w="2880"/>
          </w:tcPr>
          <w:p>
            <w:r>
              <w:t>1% revenue allocation</w:t>
            </w:r>
          </w:p>
        </w:tc>
      </w:tr>
      <w:tr>
        <w:tc>
          <w:tcPr>
            <w:tcW w:type="dxa" w:w="2880"/>
          </w:tcPr>
          <w:p>
            <w:r>
              <w:t>**El Salvador**</w:t>
            </w:r>
          </w:p>
        </w:tc>
        <w:tc>
          <w:tcPr>
            <w:tcW w:type="dxa" w:w="2880"/>
          </w:tcPr>
          <w:p>
            <w:r>
              <w:t>5,800 BTC</w:t>
            </w:r>
          </w:p>
        </w:tc>
        <w:tc>
          <w:tcPr>
            <w:tcW w:type="dxa" w:w="2880"/>
          </w:tcPr>
          <w:p>
            <w:r>
              <w:t>Continued daily buys</w:t>
            </w:r>
          </w:p>
        </w:tc>
      </w:tr>
      <w:tr>
        <w:tc>
          <w:tcPr>
            <w:tcW w:type="dxa" w:w="2880"/>
          </w:tcPr>
          <w:p>
            <w:r>
              <w:t>**Bhutan (Druk Holding)**</w:t>
            </w:r>
          </w:p>
        </w:tc>
        <w:tc>
          <w:tcPr>
            <w:tcW w:type="dxa" w:w="2880"/>
          </w:tcPr>
          <w:p>
            <w:r>
              <w:t>13,000 BTC</w:t>
            </w:r>
          </w:p>
        </w:tc>
        <w:tc>
          <w:tcPr>
            <w:tcW w:type="dxa" w:w="2880"/>
          </w:tcPr>
          <w:p>
            <w:r>
              <w:t>Mining + treasury</w:t>
            </w:r>
          </w:p>
        </w:tc>
      </w:tr>
      <w:tr>
        <w:tc>
          <w:tcPr>
            <w:tcW w:type="dxa" w:w="2880"/>
          </w:tcPr>
          <w:p>
            <w:r>
              <w:t>**Tether**</w:t>
            </w:r>
          </w:p>
        </w:tc>
        <w:tc>
          <w:tcPr>
            <w:tcW w:type="dxa" w:w="2880"/>
          </w:tcPr>
          <w:p>
            <w:r>
              <w:t>82,000 BTC</w:t>
            </w:r>
          </w:p>
        </w:tc>
        <w:tc>
          <w:tcPr>
            <w:tcW w:type="dxa" w:w="2880"/>
          </w:tcPr>
          <w:p>
            <w:r>
              <w:t>Quarterly attestations</w:t>
            </w:r>
          </w:p>
        </w:tc>
      </w:tr>
    </w:tbl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2"/>
      </w:pPr>
      <w:r>
        <w:t>4. Regulatory &amp; Political Landscape</w:t>
      </w:r>
    </w:p>
    <w:p/>
    <w:p>
      <w:pPr>
        <w:pStyle w:val="Heading3"/>
      </w:pPr>
      <w:r>
        <w:t>4.1 United States (Critical)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Development</w:t>
            </w:r>
          </w:p>
        </w:tc>
        <w:tc>
          <w:tcPr>
            <w:tcW w:type="dxa" w:w="2880"/>
          </w:tcPr>
          <w:p>
            <w:r>
              <w:rPr>
                <w:b/>
              </w:rPr>
              <w:t>Status</w:t>
            </w:r>
          </w:p>
        </w:tc>
        <w:tc>
          <w:tcPr>
            <w:tcW w:type="dxa" w:w="2880"/>
          </w:tcPr>
          <w:p>
            <w:r>
              <w:rPr>
                <w:b/>
              </w:rPr>
              <w:t>Market Impact</w:t>
            </w:r>
          </w:p>
        </w:tc>
      </w:tr>
      <w:tr>
        <w:tc>
          <w:tcPr>
            <w:tcW w:type="dxa" w:w="2880"/>
          </w:tcPr>
          <w:p>
            <w:r>
              <w:t>**Spot ETF Approvals**</w:t>
            </w:r>
          </w:p>
        </w:tc>
        <w:tc>
          <w:tcPr>
            <w:tcW w:type="dxa" w:w="2880"/>
          </w:tcPr>
          <w:p>
            <w:r>
              <w:t>✅ Done (Jan 2024)</w:t>
            </w:r>
          </w:p>
        </w:tc>
        <w:tc>
          <w:tcPr>
            <w:tcW w:type="dxa" w:w="2880"/>
          </w:tcPr>
          <w:p>
            <w:r>
              <w:t>Major positive — institutional access</w:t>
            </w:r>
          </w:p>
        </w:tc>
      </w:tr>
      <w:tr>
        <w:tc>
          <w:tcPr>
            <w:tcW w:type="dxa" w:w="2880"/>
          </w:tcPr>
          <w:p>
            <w:r>
              <w:t>**SAB 121 Repeal**</w:t>
            </w:r>
          </w:p>
        </w:tc>
        <w:tc>
          <w:tcPr>
            <w:tcW w:type="dxa" w:w="2880"/>
          </w:tcPr>
          <w:p>
            <w:r>
              <w:t>✅ Passed (May 2024)</w:t>
            </w:r>
          </w:p>
        </w:tc>
        <w:tc>
          <w:tcPr>
            <w:tcW w:type="dxa" w:w="2880"/>
          </w:tcPr>
          <w:p>
            <w:r>
              <w:t>Banks can custody BTC</w:t>
            </w:r>
          </w:p>
        </w:tc>
      </w:tr>
      <w:tr>
        <w:tc>
          <w:tcPr>
            <w:tcW w:type="dxa" w:w="2880"/>
          </w:tcPr>
          <w:p>
            <w:r>
              <w:t>**FIT21 Bill**</w:t>
            </w:r>
          </w:p>
        </w:tc>
        <w:tc>
          <w:tcPr>
            <w:tcW w:type="dxa" w:w="2880"/>
          </w:tcPr>
          <w:p>
            <w:r>
              <w:t>✅ House passed</w:t>
            </w:r>
          </w:p>
        </w:tc>
        <w:tc>
          <w:tcPr>
            <w:tcW w:type="dxa" w:w="2880"/>
          </w:tcPr>
          <w:p>
            <w:r>
              <w:t>Regulatory clarity for digital assets</w:t>
            </w:r>
          </w:p>
        </w:tc>
      </w:tr>
      <w:tr>
        <w:tc>
          <w:tcPr>
            <w:tcW w:type="dxa" w:w="2880"/>
          </w:tcPr>
          <w:p>
            <w:r>
              <w:t>**Stablecoin Bill**</w:t>
            </w:r>
          </w:p>
        </w:tc>
        <w:tc>
          <w:tcPr>
            <w:tcW w:type="dxa" w:w="2880"/>
          </w:tcPr>
          <w:p>
            <w:r>
              <w:t>Pending Senate</w:t>
            </w:r>
          </w:p>
        </w:tc>
        <w:tc>
          <w:tcPr>
            <w:tcW w:type="dxa" w:w="2880"/>
          </w:tcPr>
          <w:p>
            <w:r>
              <w:t>USDT/USDC clarity needed</w:t>
            </w:r>
          </w:p>
        </w:tc>
      </w:tr>
      <w:tr>
        <w:tc>
          <w:tcPr>
            <w:tcW w:type="dxa" w:w="2880"/>
          </w:tcPr>
          <w:p>
            <w:r>
              <w:t>**2024 Election**</w:t>
            </w:r>
          </w:p>
        </w:tc>
        <w:tc>
          <w:tcPr>
            <w:tcW w:type="dxa" w:w="2880"/>
          </w:tcPr>
          <w:p>
            <w:r>
              <w:t>**Nov 2024**</w:t>
            </w:r>
          </w:p>
        </w:tc>
        <w:tc>
          <w:tcPr>
            <w:tcW w:type="dxa" w:w="2880"/>
          </w:tcPr>
          <w:p>
            <w:r>
              <w:t>⚠️ **KEY RISK** — Policy divergence</w:t>
            </w:r>
          </w:p>
        </w:tc>
      </w:tr>
    </w:tbl>
    <w:p/>
    <w:p>
      <w:r>
        <w:rPr>
          <w:rFonts w:ascii="Calibri" w:hAnsi="Calibri"/>
          <w:sz w:val="22"/>
        </w:rPr>
        <w:t>#### Election Scenarios (Nov 2024)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Outcome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Probability</w:t>
            </w:r>
          </w:p>
        </w:tc>
        <w:tc>
          <w:tcPr>
            <w:tcW w:type="dxa" w:w="2160"/>
          </w:tcPr>
          <w:p>
            <w:r>
              <w:rPr>
                <w:b/>
              </w:rPr>
              <w:t>BTC Policy Stance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Price Impact</w:t>
            </w:r>
          </w:p>
        </w:tc>
      </w:tr>
      <w:tr>
        <w:tc>
          <w:tcPr>
            <w:tcW w:type="dxa" w:w="2160"/>
          </w:tcPr>
          <w:p>
            <w:r>
              <w:t>**Trump Win**</w:t>
            </w:r>
          </w:p>
        </w:tc>
        <w:tc>
          <w:tcPr>
            <w:tcW w:type="dxa" w:w="2160"/>
          </w:tcPr>
          <w:p>
            <w:r>
              <w:t>~50%</w:t>
            </w:r>
          </w:p>
        </w:tc>
        <w:tc>
          <w:tcPr>
            <w:tcW w:type="dxa" w:w="2160"/>
          </w:tcPr>
          <w:p>
            <w:r>
              <w:t>Pro-crypto, strategic reserve talk</w:t>
            </w:r>
          </w:p>
        </w:tc>
        <w:tc>
          <w:tcPr>
            <w:tcW w:type="dxa" w:w="2160"/>
          </w:tcPr>
          <w:p>
            <w:r>
              <w:t>**Bullish** (+$15-25K)</w:t>
            </w:r>
          </w:p>
        </w:tc>
      </w:tr>
      <w:tr>
        <w:tc>
          <w:tcPr>
            <w:tcW w:type="dxa" w:w="2160"/>
          </w:tcPr>
          <w:p>
            <w:r>
              <w:t>**Harris Win**</w:t>
            </w:r>
          </w:p>
        </w:tc>
        <w:tc>
          <w:tcPr>
            <w:tcW w:type="dxa" w:w="2160"/>
          </w:tcPr>
          <w:p>
            <w:r>
              <w:t>~45%</w:t>
            </w:r>
          </w:p>
        </w:tc>
        <w:tc>
          <w:tcPr>
            <w:tcW w:type="dxa" w:w="2160"/>
          </w:tcPr>
          <w:p>
            <w:r>
              <w:t>Status quo, enforcement continues</w:t>
            </w:r>
          </w:p>
        </w:tc>
        <w:tc>
          <w:tcPr>
            <w:tcW w:type="dxa" w:w="2160"/>
          </w:tcPr>
          <w:p>
            <w:r>
              <w:t>**Neutral/Slightly Bearish**</w:t>
            </w:r>
          </w:p>
        </w:tc>
      </w:tr>
      <w:tr>
        <w:tc>
          <w:tcPr>
            <w:tcW w:type="dxa" w:w="2160"/>
          </w:tcPr>
          <w:p>
            <w:r>
              <w:t>**Divided Govt**</w:t>
            </w:r>
          </w:p>
        </w:tc>
        <w:tc>
          <w:tcPr>
            <w:tcW w:type="dxa" w:w="2160"/>
          </w:tcPr>
          <w:p>
            <w:r>
              <w:t>~5%</w:t>
            </w:r>
          </w:p>
        </w:tc>
        <w:tc>
          <w:tcPr>
            <w:tcW w:type="dxa" w:w="2160"/>
          </w:tcPr>
          <w:p>
            <w:r>
              <w:t>Gridlock, limited legislative change</w:t>
            </w:r>
          </w:p>
        </w:tc>
        <w:tc>
          <w:tcPr>
            <w:tcW w:type="dxa" w:w="2160"/>
          </w:tcPr>
          <w:p>
            <w:r>
              <w:t>**Neutral**</w:t>
            </w:r>
          </w:p>
        </w:tc>
      </w:tr>
    </w:tbl>
    <w:p/>
    <w:p>
      <w:pPr>
        <w:ind w:left="720"/>
      </w:pPr>
      <w:r>
        <w:rPr>
          <w:i/>
          <w:color w:val="666666"/>
        </w:rPr>
        <w:t>**Current betting markets (Polymarket)**: Trump 52%, Harris 44%, Other 4%</w:t>
      </w:r>
    </w:p>
    <w:p/>
    <w:p>
      <w:pPr>
        <w:pStyle w:val="Heading3"/>
      </w:pPr>
      <w:r>
        <w:t>4.2 Global Regulation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Jurisdiction</w:t>
            </w:r>
          </w:p>
        </w:tc>
        <w:tc>
          <w:tcPr>
            <w:tcW w:type="dxa" w:w="2880"/>
          </w:tcPr>
          <w:p>
            <w:r>
              <w:rPr>
                <w:b/>
              </w:rPr>
              <w:t>Stance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Key Development</w:t>
            </w:r>
          </w:p>
        </w:tc>
      </w:tr>
      <w:tr>
        <w:tc>
          <w:tcPr>
            <w:tcW w:type="dxa" w:w="2880"/>
          </w:tcPr>
          <w:p>
            <w:r>
              <w:t>**EU (MiCA)**</w:t>
            </w:r>
          </w:p>
        </w:tc>
        <w:tc>
          <w:tcPr>
            <w:tcW w:type="dxa" w:w="2880"/>
          </w:tcPr>
          <w:p>
            <w:r>
              <w:t>✅ Implemented</w:t>
            </w:r>
          </w:p>
        </w:tc>
        <w:tc>
          <w:tcPr>
            <w:tcW w:type="dxa" w:w="2880"/>
          </w:tcPr>
          <w:p>
            <w:r>
              <w:t>Comprehensive framework, clarity</w:t>
            </w:r>
          </w:p>
        </w:tc>
      </w:tr>
      <w:tr>
        <w:tc>
          <w:tcPr>
            <w:tcW w:type="dxa" w:w="2880"/>
          </w:tcPr>
          <w:p>
            <w:r>
              <w:t>**UK**</w:t>
            </w:r>
          </w:p>
        </w:tc>
        <w:tc>
          <w:tcPr>
            <w:tcW w:type="dxa" w:w="2880"/>
          </w:tcPr>
          <w:p>
            <w:r>
              <w:t>Developing</w:t>
            </w:r>
          </w:p>
        </w:tc>
        <w:tc>
          <w:tcPr>
            <w:tcW w:type="dxa" w:w="2880"/>
          </w:tcPr>
          <w:p>
            <w:r>
              <w:t>FCA consultation on crypto rules</w:t>
            </w:r>
          </w:p>
        </w:tc>
      </w:tr>
      <w:tr>
        <w:tc>
          <w:tcPr>
            <w:tcW w:type="dxa" w:w="2880"/>
          </w:tcPr>
          <w:p>
            <w:r>
              <w:t>**Hong Kong**</w:t>
            </w:r>
          </w:p>
        </w:tc>
        <w:tc>
          <w:tcPr>
            <w:tcW w:type="dxa" w:w="2880"/>
          </w:tcPr>
          <w:p>
            <w:r>
              <w:t>✅ Licensed exchanges</w:t>
            </w:r>
          </w:p>
        </w:tc>
        <w:tc>
          <w:tcPr>
            <w:tcW w:type="dxa" w:w="2880"/>
          </w:tcPr>
          <w:p>
            <w:r>
              <w:t>HashKey, OSL operating</w:t>
            </w:r>
          </w:p>
        </w:tc>
      </w:tr>
      <w:tr>
        <w:tc>
          <w:tcPr>
            <w:tcW w:type="dxa" w:w="2880"/>
          </w:tcPr>
          <w:p>
            <w:r>
              <w:t>**Singapore**</w:t>
            </w:r>
          </w:p>
        </w:tc>
        <w:tc>
          <w:tcPr>
            <w:tcW w:type="dxa" w:w="2880"/>
          </w:tcPr>
          <w:p>
            <w:r>
              <w:t>✅ PSA licences</w:t>
            </w:r>
          </w:p>
        </w:tc>
        <w:tc>
          <w:tcPr>
            <w:tcW w:type="dxa" w:w="2880"/>
          </w:tcPr>
          <w:p>
            <w:r>
              <w:t>DBS, Standard Chartered custody</w:t>
            </w:r>
          </w:p>
        </w:tc>
      </w:tr>
      <w:tr>
        <w:tc>
          <w:tcPr>
            <w:tcW w:type="dxa" w:w="2880"/>
          </w:tcPr>
          <w:p>
            <w:r>
              <w:t>**UAE (VARA)**</w:t>
            </w:r>
          </w:p>
        </w:tc>
        <w:tc>
          <w:tcPr>
            <w:tcW w:type="dxa" w:w="2880"/>
          </w:tcPr>
          <w:p>
            <w:r>
              <w:t>✅ Full framework</w:t>
            </w:r>
          </w:p>
        </w:tc>
        <w:tc>
          <w:tcPr>
            <w:tcW w:type="dxa" w:w="2880"/>
          </w:tcPr>
          <w:p>
            <w:r>
              <w:t>Global hub ambition</w:t>
            </w:r>
          </w:p>
        </w:tc>
      </w:tr>
      <w:tr>
        <w:tc>
          <w:tcPr>
            <w:tcW w:type="dxa" w:w="2880"/>
          </w:tcPr>
          <w:p>
            <w:r>
              <w:t>**Japan**</w:t>
            </w:r>
          </w:p>
        </w:tc>
        <w:tc>
          <w:tcPr>
            <w:tcW w:type="dxa" w:w="2880"/>
          </w:tcPr>
          <w:p>
            <w:r>
              <w:t>✅ Exchange licensing</w:t>
            </w:r>
          </w:p>
        </w:tc>
        <w:tc>
          <w:tcPr>
            <w:tcW w:type="dxa" w:w="2880"/>
          </w:tcPr>
          <w:p>
            <w:r>
              <w:t>Strict but clear</w:t>
            </w:r>
          </w:p>
        </w:tc>
      </w:tr>
    </w:tbl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2"/>
      </w:pPr>
      <w:r>
        <w:t>5. Scenario Analysis (12-Month Horizon)</w:t>
      </w:r>
    </w:p>
    <w:p/>
    <w:p>
      <w:pPr>
        <w:pStyle w:val="Heading3"/>
      </w:pPr>
      <w:r>
        <w:t>Scenario Probabilities &amp; Price Targets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Scenario</w:t>
            </w:r>
          </w:p>
        </w:tc>
        <w:tc>
          <w:tcPr>
            <w:tcW w:type="dxa" w:w="1728"/>
          </w:tcPr>
          <w:p>
            <w:r>
              <w:rPr>
                <w:b/>
              </w:rPr>
              <w:t>Probability</w:t>
            </w:r>
          </w:p>
        </w:tc>
        <w:tc>
          <w:tcPr>
            <w:tcW w:type="dxa" w:w="1728"/>
          </w:tcPr>
          <w:p>
            <w:r>
              <w:rPr>
                <w:b/>
              </w:rPr>
              <w:t>Catalyst</w:t>
            </w:r>
          </w:p>
        </w:tc>
        <w:tc>
          <w:tcPr>
            <w:tcW w:type="dxa" w:w="1728"/>
          </w:tcPr>
          <w:p>
            <w:r>
              <w:rPr>
                <w:b/>
              </w:rPr>
              <w:t>Price Target</w:t>
            </w:r>
          </w:p>
        </w:tc>
        <w:tc>
          <w:tcPr>
            <w:tcW w:type="dxa" w:w="1728"/>
          </w:tcPr>
          <w:p>
            <w:r>
              <w:rPr>
                <w:b/>
              </w:rPr>
              <w:t>Timeframe</w:t>
            </w:r>
          </w:p>
        </w:tc>
      </w:tr>
      <w:tr>
        <w:tc>
          <w:tcPr>
            <w:tcW w:type="dxa" w:w="1728"/>
          </w:tcPr>
          <w:p>
            <w:r>
              <w:t>**Strong Bull**</w:t>
            </w:r>
          </w:p>
        </w:tc>
        <w:tc>
          <w:tcPr>
            <w:tcW w:type="dxa" w:w="1728"/>
          </w:tcPr>
          <w:p>
            <w:r>
              <w:t>25%</w:t>
            </w:r>
          </w:p>
        </w:tc>
        <w:tc>
          <w:tcPr>
            <w:tcW w:type="dxa" w:w="1728"/>
          </w:tcPr>
          <w:p>
            <w:r>
              <w:t>Trump win + Fed cuts + ETF acceleration</w:t>
            </w:r>
          </w:p>
        </w:tc>
        <w:tc>
          <w:tcPr>
            <w:tcW w:type="dxa" w:w="1728"/>
          </w:tcPr>
          <w:p>
            <w:r>
              <w:t>**$95,000 - $110,000**</w:t>
            </w:r>
          </w:p>
        </w:tc>
        <w:tc>
          <w:tcPr>
            <w:tcW w:type="dxa" w:w="1728"/>
          </w:tcPr>
          <w:p>
            <w:r>
              <w:t>6-12 months</w:t>
            </w:r>
          </w:p>
        </w:tc>
      </w:tr>
      <w:tr>
        <w:tc>
          <w:tcPr>
            <w:tcW w:type="dxa" w:w="1728"/>
          </w:tcPr>
          <w:p>
            <w:r>
              <w:t>**Base Case (Bull)**</w:t>
            </w:r>
          </w:p>
        </w:tc>
        <w:tc>
          <w:tcPr>
            <w:tcW w:type="dxa" w:w="1728"/>
          </w:tcPr>
          <w:p>
            <w:r>
              <w:t>40%</w:t>
            </w:r>
          </w:p>
        </w:tc>
        <w:tc>
          <w:tcPr>
            <w:tcW w:type="dxa" w:w="1728"/>
          </w:tcPr>
          <w:p>
            <w:r>
              <w:t>Steady ETF flows, Fed cuts, no major shocks</w:t>
            </w:r>
          </w:p>
        </w:tc>
        <w:tc>
          <w:tcPr>
            <w:tcW w:type="dxa" w:w="1728"/>
          </w:tcPr>
          <w:p>
            <w:r>
              <w:t>**$80,000 - $95,000**</w:t>
            </w:r>
          </w:p>
        </w:tc>
        <w:tc>
          <w:tcPr>
            <w:tcW w:type="dxa" w:w="1728"/>
          </w:tcPr>
          <w:p>
            <w:r>
              <w:t>9-12 months</w:t>
            </w:r>
          </w:p>
        </w:tc>
      </w:tr>
      <w:tr>
        <w:tc>
          <w:tcPr>
            <w:tcW w:type="dxa" w:w="1728"/>
          </w:tcPr>
          <w:p>
            <w:r>
              <w:t>**Sideways/Chop**</w:t>
            </w:r>
          </w:p>
        </w:tc>
        <w:tc>
          <w:tcPr>
            <w:tcW w:type="dxa" w:w="1728"/>
          </w:tcPr>
          <w:p>
            <w:r>
              <w:t>20%</w:t>
            </w:r>
          </w:p>
        </w:tc>
        <w:tc>
          <w:tcPr>
            <w:tcW w:type="dxa" w:w="1728"/>
          </w:tcPr>
          <w:p>
            <w:r>
              <w:t>Regulatory uncertainty, macro volatility</w:t>
            </w:r>
          </w:p>
        </w:tc>
        <w:tc>
          <w:tcPr>
            <w:tcW w:type="dxa" w:w="1728"/>
          </w:tcPr>
          <w:p>
            <w:r>
              <w:t>**$58,000 - $72,000**</w:t>
            </w:r>
          </w:p>
        </w:tc>
        <w:tc>
          <w:tcPr>
            <w:tcW w:type="dxa" w:w="1728"/>
          </w:tcPr>
          <w:p>
            <w:r>
              <w:t>6-12 months</w:t>
            </w:r>
          </w:p>
        </w:tc>
      </w:tr>
      <w:tr>
        <w:tc>
          <w:tcPr>
            <w:tcW w:type="dxa" w:w="1728"/>
          </w:tcPr>
          <w:p>
            <w:r>
              <w:t>**Correction**</w:t>
            </w:r>
          </w:p>
        </w:tc>
        <w:tc>
          <w:tcPr>
            <w:tcW w:type="dxa" w:w="1728"/>
          </w:tcPr>
          <w:p>
            <w:r>
              <w:t>10%</w:t>
            </w:r>
          </w:p>
        </w:tc>
        <w:tc>
          <w:tcPr>
            <w:tcW w:type="dxa" w:w="1728"/>
          </w:tcPr>
          <w:p>
            <w:r>
              <w:t>ETF outflows, exchange hack, macro shock</w:t>
            </w:r>
          </w:p>
        </w:tc>
        <w:tc>
          <w:tcPr>
            <w:tcW w:type="dxa" w:w="1728"/>
          </w:tcPr>
          <w:p>
            <w:r>
              <w:t>**$45,000 - $55,000**</w:t>
            </w:r>
          </w:p>
        </w:tc>
        <w:tc>
          <w:tcPr>
            <w:tcW w:type="dxa" w:w="1728"/>
          </w:tcPr>
          <w:p>
            <w:r>
              <w:t>3-6 months</w:t>
            </w:r>
          </w:p>
        </w:tc>
      </w:tr>
      <w:tr>
        <w:tc>
          <w:tcPr>
            <w:tcW w:type="dxa" w:w="1728"/>
          </w:tcPr>
          <w:p>
            <w:r>
              <w:t>**Bear Market**</w:t>
            </w:r>
          </w:p>
        </w:tc>
        <w:tc>
          <w:tcPr>
            <w:tcW w:type="dxa" w:w="1728"/>
          </w:tcPr>
          <w:p>
            <w:r>
              <w:t>5%</w:t>
            </w:r>
          </w:p>
        </w:tc>
        <w:tc>
          <w:tcPr>
            <w:tcW w:type="dxa" w:w="1728"/>
          </w:tcPr>
          <w:p>
            <w:r>
              <w:t>Global recession, coordinated ban</w:t>
            </w:r>
          </w:p>
        </w:tc>
        <w:tc>
          <w:tcPr>
            <w:tcW w:type="dxa" w:w="1728"/>
          </w:tcPr>
          <w:p>
            <w:r>
              <w:t>**&lt;$40,000**</w:t>
            </w:r>
          </w:p>
        </w:tc>
        <w:tc>
          <w:tcPr>
            <w:tcW w:type="dxa" w:w="1728"/>
          </w:tcPr>
          <w:p>
            <w:r>
              <w:t>12+ months</w:t>
            </w:r>
          </w:p>
        </w:tc>
      </w:tr>
    </w:tbl>
    <w:p/>
    <w:p>
      <w:pPr>
        <w:pStyle w:val="Heading3"/>
      </w:pPr>
      <w:r>
        <w:t>Blended Probability-Weighted Target</w:t>
      </w:r>
    </w:p>
    <w:p/>
    <w:p>
      <w:r>
        <w:rPr>
          <w:rFonts w:ascii="Calibri" w:hAnsi="Calibri"/>
          <w:b/>
          <w:sz w:val="22"/>
        </w:rPr>
        <w:t>Expected Value (12M)</w:t>
      </w:r>
      <w:r>
        <w:rPr>
          <w:rFonts w:ascii="Calibri" w:hAnsi="Calibri"/>
          <w:sz w:val="22"/>
        </w:rPr>
        <w:t xml:space="preserve">: </w:t>
      </w:r>
      <w:r>
        <w:rPr>
          <w:rFonts w:ascii="Calibri" w:hAnsi="Calibri"/>
          <w:b/>
          <w:sz w:val="22"/>
        </w:rPr>
        <w:t>$78,200</w:t>
      </w:r>
      <w:r>
        <w:rPr>
          <w:rFonts w:ascii="Calibri" w:hAnsi="Calibri"/>
          <w:sz w:val="22"/>
        </w:rPr>
        <w:t xml:space="preserve"> (+14% from current)</w:t>
      </w:r>
    </w:p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2"/>
      </w:pPr>
      <w:r>
        <w:t>6. Risk Assessment</w:t>
      </w:r>
    </w:p>
    <w:p/>
    <w:p>
      <w:pPr>
        <w:pStyle w:val="Heading3"/>
      </w:pPr>
      <w:r>
        <w:t>6.1 Top Risks (Ranked)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Rank</w:t>
            </w:r>
          </w:p>
        </w:tc>
        <w:tc>
          <w:tcPr>
            <w:tcW w:type="dxa" w:w="1728"/>
          </w:tcPr>
          <w:p>
            <w:r>
              <w:rPr>
                <w:b/>
              </w:rPr>
              <w:t>Risk</w:t>
            </w:r>
          </w:p>
        </w:tc>
        <w:tc>
          <w:tcPr>
            <w:tcW w:type="dxa" w:w="1728"/>
          </w:tcPr>
          <w:p>
            <w:r>
              <w:rPr>
                <w:b/>
              </w:rPr>
              <w:t>Likelihood</w:t>
            </w:r>
          </w:p>
        </w:tc>
        <w:tc>
          <w:tcPr>
            <w:tcW w:type="dxa" w:w="1728"/>
          </w:tcPr>
          <w:p>
            <w:r>
              <w:rPr>
                <w:b/>
              </w:rPr>
              <w:t>Impact</w:t>
            </w:r>
          </w:p>
        </w:tc>
        <w:tc>
          <w:tcPr>
            <w:tcW w:type="dxa" w:w="1728"/>
          </w:tcPr>
          <w:p>
            <w:r>
              <w:rPr>
                <w:b/>
              </w:rPr>
              <w:t>Mitigation</w:t>
            </w:r>
          </w:p>
        </w:tc>
      </w:tr>
      <w:tr>
        <w:tc>
          <w:tcPr>
            <w:tcW w:type="dxa" w:w="1728"/>
          </w:tcPr>
          <w:p>
            <w:r>
              <w:t>**1**</w:t>
            </w:r>
          </w:p>
        </w:tc>
        <w:tc>
          <w:tcPr>
            <w:tcW w:type="dxa" w:w="1728"/>
          </w:tcPr>
          <w:p>
            <w:r>
              <w:t>**US Election Policy Shift**</w:t>
            </w:r>
          </w:p>
        </w:tc>
        <w:tc>
          <w:tcPr>
            <w:tcW w:type="dxa" w:w="1728"/>
          </w:tcPr>
          <w:p>
            <w:r>
              <w:t>High</w:t>
            </w:r>
          </w:p>
        </w:tc>
        <w:tc>
          <w:tcPr>
            <w:tcW w:type="dxa" w:w="1728"/>
          </w:tcPr>
          <w:p>
            <w:r>
              <w:t>Very High</w:t>
            </w:r>
          </w:p>
        </w:tc>
        <w:tc>
          <w:tcPr>
            <w:tcW w:type="dxa" w:w="1728"/>
          </w:tcPr>
          <w:p>
            <w:r>
              <w:t>Diversify, size position</w:t>
            </w:r>
          </w:p>
        </w:tc>
      </w:tr>
      <w:tr>
        <w:tc>
          <w:tcPr>
            <w:tcW w:type="dxa" w:w="1728"/>
          </w:tcPr>
          <w:p>
            <w:r>
              <w:t>**2**</w:t>
            </w:r>
          </w:p>
        </w:tc>
        <w:tc>
          <w:tcPr>
            <w:tcW w:type="dxa" w:w="1728"/>
          </w:tcPr>
          <w:p>
            <w:r>
              <w:t>**Major Exchange Failure**</w:t>
            </w:r>
          </w:p>
        </w:tc>
        <w:tc>
          <w:tcPr>
            <w:tcW w:type="dxa" w:w="1728"/>
          </w:tcPr>
          <w:p>
            <w:r>
              <w:t>Low</w:t>
            </w:r>
          </w:p>
        </w:tc>
        <w:tc>
          <w:tcPr>
            <w:tcW w:type="dxa" w:w="1728"/>
          </w:tcPr>
          <w:p>
            <w:r>
              <w:t>Very High</w:t>
            </w:r>
          </w:p>
        </w:tc>
        <w:tc>
          <w:tcPr>
            <w:tcW w:type="dxa" w:w="1728"/>
          </w:tcPr>
          <w:p>
            <w:r>
              <w:t>Self-custody, multiple venues</w:t>
            </w:r>
          </w:p>
        </w:tc>
      </w:tr>
      <w:tr>
        <w:tc>
          <w:tcPr>
            <w:tcW w:type="dxa" w:w="1728"/>
          </w:tcPr>
          <w:p>
            <w:r>
              <w:t>**3**</w:t>
            </w:r>
          </w:p>
        </w:tc>
        <w:tc>
          <w:tcPr>
            <w:tcW w:type="dxa" w:w="1728"/>
          </w:tcPr>
          <w:p>
            <w:r>
              <w:t>**ETF Flow Reversal**</w:t>
            </w:r>
          </w:p>
        </w:tc>
        <w:tc>
          <w:tcPr>
            <w:tcW w:type="dxa" w:w="1728"/>
          </w:tcPr>
          <w:p>
            <w:r>
              <w:t>Medium</w:t>
            </w:r>
          </w:p>
        </w:tc>
        <w:tc>
          <w:tcPr>
            <w:tcW w:type="dxa" w:w="1728"/>
          </w:tcPr>
          <w:p>
            <w:r>
              <w:t>High</w:t>
            </w:r>
          </w:p>
        </w:tc>
        <w:tc>
          <w:tcPr>
            <w:tcW w:type="dxa" w:w="1728"/>
          </w:tcPr>
          <w:p>
            <w:r>
              <w:t>Monitor weekly flow data</w:t>
            </w:r>
          </w:p>
        </w:tc>
      </w:tr>
      <w:tr>
        <w:tc>
          <w:tcPr>
            <w:tcW w:type="dxa" w:w="1728"/>
          </w:tcPr>
          <w:p>
            <w:r>
              <w:t>**4**</w:t>
            </w:r>
          </w:p>
        </w:tc>
        <w:tc>
          <w:tcPr>
            <w:tcW w:type="dxa" w:w="1728"/>
          </w:tcPr>
          <w:p>
            <w:r>
              <w:t>**Quantum Computing FUD**</w:t>
            </w:r>
          </w:p>
        </w:tc>
        <w:tc>
          <w:tcPr>
            <w:tcW w:type="dxa" w:w="1728"/>
          </w:tcPr>
          <w:p>
            <w:r>
              <w:t>Very Low</w:t>
            </w:r>
          </w:p>
        </w:tc>
        <w:tc>
          <w:tcPr>
            <w:tcW w:type="dxa" w:w="1728"/>
          </w:tcPr>
          <w:p>
            <w:r>
              <w:t>High</w:t>
            </w:r>
          </w:p>
        </w:tc>
        <w:tc>
          <w:tcPr>
            <w:tcW w:type="dxa" w:w="1728"/>
          </w:tcPr>
          <w:p>
            <w:r>
              <w:t>Track NIST post-quantum standards</w:t>
            </w:r>
          </w:p>
        </w:tc>
      </w:tr>
      <w:tr>
        <w:tc>
          <w:tcPr>
            <w:tcW w:type="dxa" w:w="1728"/>
          </w:tcPr>
          <w:p>
            <w:r>
              <w:t>**5**</w:t>
            </w:r>
          </w:p>
        </w:tc>
        <w:tc>
          <w:tcPr>
            <w:tcW w:type="dxa" w:w="1728"/>
          </w:tcPr>
          <w:p>
            <w:r>
              <w:t>**Miner Sell Pressure (Halving)**</w:t>
            </w:r>
          </w:p>
        </w:tc>
        <w:tc>
          <w:tcPr>
            <w:tcW w:type="dxa" w:w="1728"/>
          </w:tcPr>
          <w:p>
            <w:r>
              <w:t>Low</w:t>
            </w:r>
          </w:p>
        </w:tc>
        <w:tc>
          <w:tcPr>
            <w:tcW w:type="dxa" w:w="1728"/>
          </w:tcPr>
          <w:p>
            <w:r>
              <w:t>Medium</w:t>
            </w:r>
          </w:p>
        </w:tc>
        <w:tc>
          <w:tcPr>
            <w:tcW w:type="dxa" w:w="1728"/>
          </w:tcPr>
          <w:p>
            <w:r>
              <w:t>Hash rate at ATH suggests no stress</w:t>
            </w:r>
          </w:p>
        </w:tc>
      </w:tr>
      <w:tr>
        <w:tc>
          <w:tcPr>
            <w:tcW w:type="dxa" w:w="1728"/>
          </w:tcPr>
          <w:p>
            <w:r>
              <w:t>**6**</w:t>
            </w:r>
          </w:p>
        </w:tc>
        <w:tc>
          <w:tcPr>
            <w:tcW w:type="dxa" w:w="1728"/>
          </w:tcPr>
          <w:p>
            <w:r>
              <w:t>**Tether/USDC Depeg**</w:t>
            </w:r>
          </w:p>
        </w:tc>
        <w:tc>
          <w:tcPr>
            <w:tcW w:type="dxa" w:w="1728"/>
          </w:tcPr>
          <w:p>
            <w:r>
              <w:t>Low</w:t>
            </w:r>
          </w:p>
        </w:tc>
        <w:tc>
          <w:tcPr>
            <w:tcW w:type="dxa" w:w="1728"/>
          </w:tcPr>
          <w:p>
            <w:r>
              <w:t>High</w:t>
            </w:r>
          </w:p>
        </w:tc>
        <w:tc>
          <w:tcPr>
            <w:tcW w:type="dxa" w:w="1728"/>
          </w:tcPr>
          <w:p>
            <w:r>
              <w:t>Diversify stablecoin exposure</w:t>
            </w:r>
          </w:p>
        </w:tc>
      </w:tr>
      <w:tr>
        <w:tc>
          <w:tcPr>
            <w:tcW w:type="dxa" w:w="1728"/>
          </w:tcPr>
          <w:p>
            <w:r>
              <w:t>**7**</w:t>
            </w:r>
          </w:p>
        </w:tc>
        <w:tc>
          <w:tcPr>
            <w:tcW w:type="dxa" w:w="1728"/>
          </w:tcPr>
          <w:p>
            <w:r>
              <w:t>**Government Seizure/Ban**</w:t>
            </w:r>
          </w:p>
        </w:tc>
        <w:tc>
          <w:tcPr>
            <w:tcW w:type="dxa" w:w="1728"/>
          </w:tcPr>
          <w:p>
            <w:r>
              <w:t>Very Low</w:t>
            </w:r>
          </w:p>
        </w:tc>
        <w:tc>
          <w:tcPr>
            <w:tcW w:type="dxa" w:w="1728"/>
          </w:tcPr>
          <w:p>
            <w:r>
              <w:t>Extreme</w:t>
            </w:r>
          </w:p>
        </w:tc>
        <w:tc>
          <w:tcPr>
            <w:tcW w:type="dxa" w:w="1728"/>
          </w:tcPr>
          <w:p>
            <w:r>
              <w:t>Geographic diversification</w:t>
            </w:r>
          </w:p>
        </w:tc>
      </w:tr>
    </w:tbl>
    <w:p/>
    <w:p>
      <w:pPr>
        <w:pStyle w:val="Heading3"/>
      </w:pPr>
      <w:r>
        <w:t>6.2 Technical Risk Triggers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Trigger</w:t>
            </w:r>
          </w:p>
        </w:tc>
        <w:tc>
          <w:tcPr>
            <w:tcW w:type="dxa" w:w="2880"/>
          </w:tcPr>
          <w:p>
            <w:r>
              <w:rPr>
                <w:b/>
              </w:rPr>
              <w:t>Level</w:t>
            </w:r>
          </w:p>
        </w:tc>
        <w:tc>
          <w:tcPr>
            <w:tcW w:type="dxa" w:w="2880"/>
          </w:tcPr>
          <w:p>
            <w:r>
              <w:rPr>
                <w:b/>
              </w:rPr>
              <w:t>Action</w:t>
            </w:r>
          </w:p>
        </w:tc>
      </w:tr>
      <w:tr>
        <w:tc>
          <w:tcPr>
            <w:tcW w:type="dxa" w:w="2880"/>
          </w:tcPr>
          <w:p>
            <w:r>
              <w:t>**Weekly close &lt;$58K**</w:t>
            </w:r>
          </w:p>
        </w:tc>
        <w:tc>
          <w:tcPr>
            <w:tcW w:type="dxa" w:w="2880"/>
          </w:tcPr>
          <w:p>
            <w:r>
              <w:t>200-week MA break</w:t>
            </w:r>
          </w:p>
        </w:tc>
        <w:tc>
          <w:tcPr>
            <w:tcW w:type="dxa" w:w="2880"/>
          </w:tcPr>
          <w:p>
            <w:r>
              <w:t>Reduce exposure 25-50%</w:t>
            </w:r>
          </w:p>
        </w:tc>
      </w:tr>
      <w:tr>
        <w:tc>
          <w:tcPr>
            <w:tcW w:type="dxa" w:w="2880"/>
          </w:tcPr>
          <w:p>
            <w:r>
              <w:t>**Daily close &lt;$52K**</w:t>
            </w:r>
          </w:p>
        </w:tc>
        <w:tc>
          <w:tcPr>
            <w:tcW w:type="dxa" w:w="2880"/>
          </w:tcPr>
          <w:p>
            <w:r>
              <w:t>Structure break</w:t>
            </w:r>
          </w:p>
        </w:tc>
        <w:tc>
          <w:tcPr>
            <w:tcW w:type="dxa" w:w="2880"/>
          </w:tcPr>
          <w:p>
            <w:r>
              <w:t>Reduce 50-75%, reassess</w:t>
            </w:r>
          </w:p>
        </w:tc>
      </w:tr>
      <w:tr>
        <w:tc>
          <w:tcPr>
            <w:tcW w:type="dxa" w:w="2880"/>
          </w:tcPr>
          <w:p>
            <w:r>
              <w:t>**MVRV &gt; 3.5**</w:t>
            </w:r>
          </w:p>
        </w:tc>
        <w:tc>
          <w:tcPr>
            <w:tcW w:type="dxa" w:w="2880"/>
          </w:tcPr>
          <w:p>
            <w:r>
              <w:t>Euphoria zone</w:t>
            </w:r>
          </w:p>
        </w:tc>
        <w:tc>
          <w:tcPr>
            <w:tcW w:type="dxa" w:w="2880"/>
          </w:tcPr>
          <w:p>
            <w:r>
              <w:t>Take profits 25-30%</w:t>
            </w:r>
          </w:p>
        </w:tc>
      </w:tr>
      <w:tr>
        <w:tc>
          <w:tcPr>
            <w:tcW w:type="dxa" w:w="2880"/>
          </w:tcPr>
          <w:p>
            <w:r>
              <w:t>**Funding &gt; 0.05% (8h)**</w:t>
            </w:r>
          </w:p>
        </w:tc>
        <w:tc>
          <w:tcPr>
            <w:tcW w:type="dxa" w:w="2880"/>
          </w:tcPr>
          <w:p>
            <w:r>
              <w:t>Leverage flush risk</w:t>
            </w:r>
          </w:p>
        </w:tc>
        <w:tc>
          <w:tcPr>
            <w:tcW w:type="dxa" w:w="2880"/>
          </w:tcPr>
          <w:p>
            <w:r>
              <w:t>Reduce leveraged positions</w:t>
            </w:r>
          </w:p>
        </w:tc>
      </w:tr>
    </w:tbl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2"/>
      </w:pPr>
      <w:r>
        <w:t>7. Portfolio Allocation Framework</w:t>
      </w:r>
    </w:p>
    <w:p/>
    <w:p>
      <w:pPr>
        <w:pStyle w:val="Heading3"/>
      </w:pPr>
      <w:r>
        <w:t>7.1 Suggested Allocation (Risk-Adjusted)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Investor Profile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BTC Allocation</w:t>
            </w:r>
          </w:p>
        </w:tc>
        <w:tc>
          <w:tcPr>
            <w:tcW w:type="dxa" w:w="2880"/>
          </w:tcPr>
          <w:p>
            <w:r>
              <w:rPr>
                <w:b/>
              </w:rPr>
              <w:t>Strategy</w:t>
            </w:r>
          </w:p>
        </w:tc>
      </w:tr>
      <w:tr>
        <w:tc>
          <w:tcPr>
            <w:tcW w:type="dxa" w:w="2880"/>
          </w:tcPr>
          <w:p>
            <w:r>
              <w:t>**Conservative (Retiree)**</w:t>
            </w:r>
          </w:p>
        </w:tc>
        <w:tc>
          <w:tcPr>
            <w:tcW w:type="dxa" w:w="2880"/>
          </w:tcPr>
          <w:p>
            <w:r>
              <w:t>1-3%</w:t>
            </w:r>
          </w:p>
        </w:tc>
        <w:tc>
          <w:tcPr>
            <w:tcW w:type="dxa" w:w="2880"/>
          </w:tcPr>
          <w:p>
            <w:r>
              <w:t>Spot only, dollar-cost average, cold storage</w:t>
            </w:r>
          </w:p>
        </w:tc>
      </w:tr>
      <w:tr>
        <w:tc>
          <w:tcPr>
            <w:tcW w:type="dxa" w:w="2880"/>
          </w:tcPr>
          <w:p>
            <w:r>
              <w:t>**Balanced**</w:t>
            </w:r>
          </w:p>
        </w:tc>
        <w:tc>
          <w:tcPr>
            <w:tcW w:type="dxa" w:w="2880"/>
          </w:tcPr>
          <w:p>
            <w:r>
              <w:t>3-7%</w:t>
            </w:r>
          </w:p>
        </w:tc>
        <w:tc>
          <w:tcPr>
            <w:tcW w:type="dxa" w:w="2880"/>
          </w:tcPr>
          <w:p>
            <w:r>
              <w:t>70% spot, 20% ETF (IBIT/FBTC), 10% yield (staking/L2)</w:t>
            </w:r>
          </w:p>
        </w:tc>
      </w:tr>
      <w:tr>
        <w:tc>
          <w:tcPr>
            <w:tcW w:type="dxa" w:w="2880"/>
          </w:tcPr>
          <w:p>
            <w:r>
              <w:t>**Growth**</w:t>
            </w:r>
          </w:p>
        </w:tc>
        <w:tc>
          <w:tcPr>
            <w:tcW w:type="dxa" w:w="2880"/>
          </w:tcPr>
          <w:p>
            <w:r>
              <w:t>7-15%</w:t>
            </w:r>
          </w:p>
        </w:tc>
        <w:tc>
          <w:tcPr>
            <w:tcW w:type="dxa" w:w="2880"/>
          </w:tcPr>
          <w:p>
            <w:r>
              <w:t>60% spot, 20% ETF, 15% DeFi yield, 5% trading</w:t>
            </w:r>
          </w:p>
        </w:tc>
      </w:tr>
      <w:tr>
        <w:tc>
          <w:tcPr>
            <w:tcW w:type="dxa" w:w="2880"/>
          </w:tcPr>
          <w:p>
            <w:r>
              <w:t>**Aggressive**</w:t>
            </w:r>
          </w:p>
        </w:tc>
        <w:tc>
          <w:tcPr>
            <w:tcW w:type="dxa" w:w="2880"/>
          </w:tcPr>
          <w:p>
            <w:r>
              <w:t>15-25%</w:t>
            </w:r>
          </w:p>
        </w:tc>
        <w:tc>
          <w:tcPr>
            <w:tcW w:type="dxa" w:w="2880"/>
          </w:tcPr>
          <w:p>
            <w:r>
              <w:t>Active management, leverage (≤2x), options overlay</w:t>
            </w:r>
          </w:p>
        </w:tc>
      </w:tr>
    </w:tbl>
    <w:p/>
    <w:p>
      <w:pPr>
        <w:pStyle w:val="Heading3"/>
      </w:pPr>
      <w:r>
        <w:t>7.2 Entry Strategy (Current Level ~$68.5K)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Tranche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Price Range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Allocation</w:t>
            </w:r>
          </w:p>
        </w:tc>
        <w:tc>
          <w:tcPr>
            <w:tcW w:type="dxa" w:w="2160"/>
          </w:tcPr>
          <w:p>
            <w:r>
              <w:rPr>
                <w:b/>
              </w:rPr>
              <w:t>Trigger</w:t>
            </w:r>
          </w:p>
        </w:tc>
      </w:tr>
      <w:tr>
        <w:tc>
          <w:tcPr>
            <w:tcW w:type="dxa" w:w="2160"/>
          </w:tcPr>
          <w:p>
            <w:r>
              <w:t>**T1 (Core)**</w:t>
            </w:r>
          </w:p>
        </w:tc>
        <w:tc>
          <w:tcPr>
            <w:tcW w:type="dxa" w:w="2160"/>
          </w:tcPr>
          <w:p>
            <w:r>
              <w:t>$65-68K</w:t>
            </w:r>
          </w:p>
        </w:tc>
        <w:tc>
          <w:tcPr>
            <w:tcW w:type="dxa" w:w="2160"/>
          </w:tcPr>
          <w:p>
            <w:r>
              <w:t>40%</w:t>
            </w:r>
          </w:p>
        </w:tc>
        <w:tc>
          <w:tcPr>
            <w:tcW w:type="dxa" w:w="2160"/>
          </w:tcPr>
          <w:p>
            <w:r>
              <w:t>Current — execute now</w:t>
            </w:r>
          </w:p>
        </w:tc>
      </w:tr>
      <w:tr>
        <w:tc>
          <w:tcPr>
            <w:tcW w:type="dxa" w:w="2160"/>
          </w:tcPr>
          <w:p>
            <w:r>
              <w:t>**T2 (Dip Buy)**</w:t>
            </w:r>
          </w:p>
        </w:tc>
        <w:tc>
          <w:tcPr>
            <w:tcW w:type="dxa" w:w="2160"/>
          </w:tcPr>
          <w:p>
            <w:r>
              <w:t>$60-65K</w:t>
            </w:r>
          </w:p>
        </w:tc>
        <w:tc>
          <w:tcPr>
            <w:tcW w:type="dxa" w:w="2160"/>
          </w:tcPr>
          <w:p>
            <w:r>
              <w:t>30%</w:t>
            </w:r>
          </w:p>
        </w:tc>
        <w:tc>
          <w:tcPr>
            <w:tcW w:type="dxa" w:w="2160"/>
          </w:tcPr>
          <w:p>
            <w:r>
              <w:t>Limit orders at $63K, $60K</w:t>
            </w:r>
          </w:p>
        </w:tc>
      </w:tr>
      <w:tr>
        <w:tc>
          <w:tcPr>
            <w:tcW w:type="dxa" w:w="2160"/>
          </w:tcPr>
          <w:p>
            <w:r>
              <w:t>**T3 (Breakout)**</w:t>
            </w:r>
          </w:p>
        </w:tc>
        <w:tc>
          <w:tcPr>
            <w:tcW w:type="dxa" w:w="2160"/>
          </w:tcPr>
          <w:p>
            <w:r>
              <w:t>&gt;$72K</w:t>
            </w:r>
          </w:p>
        </w:tc>
        <w:tc>
          <w:tcPr>
            <w:tcW w:type="dxa" w:w="2160"/>
          </w:tcPr>
          <w:p>
            <w:r>
              <w:t>20%</w:t>
            </w:r>
          </w:p>
        </w:tc>
        <w:tc>
          <w:tcPr>
            <w:tcW w:type="dxa" w:w="2160"/>
          </w:tcPr>
          <w:p>
            <w:r>
              <w:t>Momentum confirmation</w:t>
            </w:r>
          </w:p>
        </w:tc>
      </w:tr>
      <w:tr>
        <w:tc>
          <w:tcPr>
            <w:tcW w:type="dxa" w:w="2160"/>
          </w:tcPr>
          <w:p>
            <w:r>
              <w:t>**T4 (Reserve)**</w:t>
            </w:r>
          </w:p>
        </w:tc>
        <w:tc>
          <w:tcPr>
            <w:tcW w:type="dxa" w:w="2160"/>
          </w:tcPr>
          <w:p>
            <w:r>
              <w:t>&lt;$55K</w:t>
            </w:r>
          </w:p>
        </w:tc>
        <w:tc>
          <w:tcPr>
            <w:tcW w:type="dxa" w:w="2160"/>
          </w:tcPr>
          <w:p>
            <w:r>
              <w:t>10%</w:t>
            </w:r>
          </w:p>
        </w:tc>
        <w:tc>
          <w:tcPr>
            <w:tcW w:type="dxa" w:w="2160"/>
          </w:tcPr>
          <w:p>
            <w:r>
              <w:t>Deep correction buffer</w:t>
            </w:r>
          </w:p>
        </w:tc>
      </w:tr>
    </w:tbl>
    <w:p/>
    <w:p>
      <w:pPr>
        <w:ind w:left="720"/>
      </w:pPr>
      <w:r>
        <w:rPr>
          <w:i/>
          <w:color w:val="666666"/>
        </w:rPr>
        <w:t>**DCA Alternative**: $X/week for 12 months regardless of price (removes timing risk)</w:t>
      </w:r>
    </w:p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2"/>
      </w:pPr>
      <w:r>
        <w:t>8. Yield Opportunities (Beyond Spot)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Strategy</w:t>
            </w:r>
          </w:p>
        </w:tc>
        <w:tc>
          <w:tcPr>
            <w:tcW w:type="dxa" w:w="2160"/>
          </w:tcPr>
          <w:p>
            <w:r>
              <w:rPr>
                <w:b/>
              </w:rPr>
              <w:t>Current Yield</w:t>
            </w:r>
          </w:p>
        </w:tc>
        <w:tc>
          <w:tcPr>
            <w:tcW w:type="dxa" w:w="2160"/>
          </w:tcPr>
          <w:p>
            <w:r>
              <w:rPr>
                <w:b/>
              </w:rPr>
              <w:t>Risk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Platform Examples</w:t>
            </w:r>
          </w:p>
        </w:tc>
      </w:tr>
      <w:tr>
        <w:tc>
          <w:tcPr>
            <w:tcW w:type="dxa" w:w="2160"/>
          </w:tcPr>
          <w:p>
            <w:r>
              <w:t>**Native Staking (Babylon)**</w:t>
            </w:r>
          </w:p>
        </w:tc>
        <w:tc>
          <w:tcPr>
            <w:tcW w:type="dxa" w:w="2160"/>
          </w:tcPr>
          <w:p>
            <w:r>
              <w:t>3-5%</w:t>
            </w:r>
          </w:p>
        </w:tc>
        <w:tc>
          <w:tcPr>
            <w:tcW w:type="dxa" w:w="2160"/>
          </w:tcPr>
          <w:p>
            <w:r>
              <w:t>Smart contract</w:t>
            </w:r>
          </w:p>
        </w:tc>
        <w:tc>
          <w:tcPr>
            <w:tcW w:type="dxa" w:w="2160"/>
          </w:tcPr>
          <w:p>
            <w:r>
              <w:t>Babylon, Lombard</w:t>
            </w:r>
          </w:p>
        </w:tc>
      </w:tr>
      <w:tr>
        <w:tc>
          <w:tcPr>
            <w:tcW w:type="dxa" w:w="2160"/>
          </w:tcPr>
          <w:p>
            <w:r>
              <w:t>**Liquid Staking (LBTC)**</w:t>
            </w:r>
          </w:p>
        </w:tc>
        <w:tc>
          <w:tcPr>
            <w:tcW w:type="dxa" w:w="2160"/>
          </w:tcPr>
          <w:p>
            <w:r>
              <w:t>3-4%</w:t>
            </w:r>
          </w:p>
        </w:tc>
        <w:tc>
          <w:tcPr>
            <w:tcW w:type="dxa" w:w="2160"/>
          </w:tcPr>
          <w:p>
            <w:r>
              <w:t>Smart contract + custody</w:t>
            </w:r>
          </w:p>
        </w:tc>
        <w:tc>
          <w:tcPr>
            <w:tcW w:type="dxa" w:w="2160"/>
          </w:tcPr>
          <w:p>
            <w:r>
              <w:t>Lombard, PumpBTC</w:t>
            </w:r>
          </w:p>
        </w:tc>
      </w:tr>
      <w:tr>
        <w:tc>
          <w:tcPr>
            <w:tcW w:type="dxa" w:w="2160"/>
          </w:tcPr>
          <w:p>
            <w:r>
              <w:t>**Lightning Routing**</w:t>
            </w:r>
          </w:p>
        </w:tc>
        <w:tc>
          <w:tcPr>
            <w:tcW w:type="dxa" w:w="2160"/>
          </w:tcPr>
          <w:p>
            <w:r>
              <w:t>2-8%</w:t>
            </w:r>
          </w:p>
        </w:tc>
        <w:tc>
          <w:tcPr>
            <w:tcW w:type="dxa" w:w="2160"/>
          </w:tcPr>
          <w:p>
            <w:r>
              <w:t>Operational</w:t>
            </w:r>
          </w:p>
        </w:tc>
        <w:tc>
          <w:tcPr>
            <w:tcW w:type="dxa" w:w="2160"/>
          </w:tcPr>
          <w:p>
            <w:r>
              <w:t>Voltage, LNBits</w:t>
            </w:r>
          </w:p>
        </w:tc>
      </w:tr>
      <w:tr>
        <w:tc>
          <w:tcPr>
            <w:tcW w:type="dxa" w:w="2160"/>
          </w:tcPr>
          <w:p>
            <w:r>
              <w:t>**CEX Lending**</w:t>
            </w:r>
          </w:p>
        </w:tc>
        <w:tc>
          <w:tcPr>
            <w:tcW w:type="dxa" w:w="2160"/>
          </w:tcPr>
          <w:p>
            <w:r>
              <w:t>1-3%</w:t>
            </w:r>
          </w:p>
        </w:tc>
        <w:tc>
          <w:tcPr>
            <w:tcW w:type="dxa" w:w="2160"/>
          </w:tcPr>
          <w:p>
            <w:r>
              <w:t>Counterparty</w:t>
            </w:r>
          </w:p>
        </w:tc>
        <w:tc>
          <w:tcPr>
            <w:tcW w:type="dxa" w:w="2160"/>
          </w:tcPr>
          <w:p>
            <w:r>
              <w:t>Binance, Bybit, OKX</w:t>
            </w:r>
          </w:p>
        </w:tc>
      </w:tr>
      <w:tr>
        <w:tc>
          <w:tcPr>
            <w:tcW w:type="dxa" w:w="2160"/>
          </w:tcPr>
          <w:p>
            <w:r>
              <w:t>**DeFi Lending (WBTC)**</w:t>
            </w:r>
          </w:p>
        </w:tc>
        <w:tc>
          <w:tcPr>
            <w:tcW w:type="dxa" w:w="2160"/>
          </w:tcPr>
          <w:p>
            <w:r>
              <w:t>2-6%</w:t>
            </w:r>
          </w:p>
        </w:tc>
        <w:tc>
          <w:tcPr>
            <w:tcW w:type="dxa" w:w="2160"/>
          </w:tcPr>
          <w:p>
            <w:r>
              <w:t>Smart contract</w:t>
            </w:r>
          </w:p>
        </w:tc>
        <w:tc>
          <w:tcPr>
            <w:tcW w:type="dxa" w:w="2160"/>
          </w:tcPr>
          <w:p>
            <w:r>
              <w:t>Aave, Morpho</w:t>
            </w:r>
          </w:p>
        </w:tc>
      </w:tr>
      <w:tr>
        <w:tc>
          <w:tcPr>
            <w:tcW w:type="dxa" w:w="2160"/>
          </w:tcPr>
          <w:p>
            <w:r>
              <w:t>**Covered Calls (ETF)**</w:t>
            </w:r>
          </w:p>
        </w:tc>
        <w:tc>
          <w:tcPr>
            <w:tcW w:type="dxa" w:w="2160"/>
          </w:tcPr>
          <w:p>
            <w:r>
              <w:t>8-15%</w:t>
            </w:r>
          </w:p>
        </w:tc>
        <w:tc>
          <w:tcPr>
            <w:tcW w:type="dxa" w:w="2160"/>
          </w:tcPr>
          <w:p>
            <w:r>
              <w:t>Opportunity cost</w:t>
            </w:r>
          </w:p>
        </w:tc>
        <w:tc>
          <w:tcPr>
            <w:tcW w:type="dxa" w:w="2160"/>
          </w:tcPr>
          <w:p>
            <w:r>
              <w:t>IBIT options, YieldMax</w:t>
            </w:r>
          </w:p>
        </w:tc>
      </w:tr>
    </w:tbl>
    <w:p/>
    <w:p>
      <w:pPr>
        <w:ind w:left="720"/>
      </w:pPr>
      <w:r>
        <w:rPr>
          <w:i/>
          <w:color w:val="666666"/>
        </w:rPr>
        <w:t>**Conservative Pick**: **LBTC (Lombard)** ~4% yield, Bitcoin-native, audited, institutional-grade.</w:t>
      </w:r>
    </w:p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2"/>
      </w:pPr>
      <w:r>
        <w:t>9. Tax Considerations (HK Resident)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Event</w:t>
            </w:r>
          </w:p>
        </w:tc>
        <w:tc>
          <w:tcPr>
            <w:tcW w:type="dxa" w:w="4320"/>
          </w:tcPr>
          <w:p>
            <w:r>
              <w:rPr>
                <w:b/>
              </w:rPr>
              <w:t>Hong Kong Tax Treatment</w:t>
            </w:r>
          </w:p>
        </w:tc>
      </w:tr>
      <w:tr>
        <w:tc>
          <w:tcPr>
            <w:tcW w:type="dxa" w:w="4320"/>
          </w:tcPr>
          <w:p>
            <w:r>
              <w:t>**Buy/Hold/Sell (Capital)**</w:t>
            </w:r>
          </w:p>
        </w:tc>
        <w:tc>
          <w:tcPr>
            <w:tcW w:type="dxa" w:w="4320"/>
          </w:tcPr>
          <w:p>
            <w:r>
              <w:t>**Tax-exempt** (no capital gains tax)</w:t>
            </w:r>
          </w:p>
        </w:tc>
      </w:tr>
      <w:tr>
        <w:tc>
          <w:tcPr>
            <w:tcW w:type="dxa" w:w="4320"/>
          </w:tcPr>
          <w:p>
            <w:r>
              <w:t>**Trading as Business**</w:t>
            </w:r>
          </w:p>
        </w:tc>
        <w:tc>
          <w:tcPr>
            <w:tcW w:type="dxa" w:w="4320"/>
          </w:tcPr>
          <w:p>
            <w:r>
              <w:t>Profits tax (8.25%/16.5%) if "trade"</w:t>
            </w:r>
          </w:p>
        </w:tc>
      </w:tr>
      <w:tr>
        <w:tc>
          <w:tcPr>
            <w:tcW w:type="dxa" w:w="4320"/>
          </w:tcPr>
          <w:p>
            <w:r>
              <w:t>**Staking/Yield Income**</w:t>
            </w:r>
          </w:p>
        </w:tc>
        <w:tc>
          <w:tcPr>
            <w:tcW w:type="dxa" w:w="4320"/>
          </w:tcPr>
          <w:p>
            <w:r>
              <w:t>Potentially taxable as income</w:t>
            </w:r>
          </w:p>
        </w:tc>
      </w:tr>
      <w:tr>
        <w:tc>
          <w:tcPr>
            <w:tcW w:type="dxa" w:w="4320"/>
          </w:tcPr>
          <w:p>
            <w:r>
              <w:t>**Mining**</w:t>
            </w:r>
          </w:p>
        </w:tc>
        <w:tc>
          <w:tcPr>
            <w:tcW w:type="dxa" w:w="4320"/>
          </w:tcPr>
          <w:p>
            <w:r>
              <w:t>Profits tax (business income)</w:t>
            </w:r>
          </w:p>
        </w:tc>
      </w:tr>
      <w:tr>
        <w:tc>
          <w:tcPr>
            <w:tcW w:type="dxa" w:w="4320"/>
          </w:tcPr>
          <w:p>
            <w:r>
              <w:t>**Inheritance/Gift**</w:t>
            </w:r>
          </w:p>
        </w:tc>
        <w:tc>
          <w:tcPr>
            <w:tcW w:type="dxa" w:w="4320"/>
          </w:tcPr>
          <w:p>
            <w:r>
              <w:t>No estate duty (abolished 2006)</w:t>
            </w:r>
          </w:p>
        </w:tc>
      </w:tr>
    </w:tbl>
    <w:p/>
    <w:p>
      <w:pPr>
        <w:ind w:left="720"/>
      </w:pPr>
      <w:r>
        <w:rPr>
          <w:i/>
          <w:color w:val="666666"/>
        </w:rPr>
        <w:t>**Record-keeping**: Maintain exchange statements, wallet exports, cost basis for 7+ years.</w:t>
      </w:r>
    </w:p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2"/>
      </w:pPr>
      <w:r>
        <w:t>10. Action Plan (Next 90 Days)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Week</w:t>
            </w:r>
          </w:p>
        </w:tc>
        <w:tc>
          <w:tcPr>
            <w:tcW w:type="dxa" w:w="4320"/>
          </w:tcPr>
          <w:p>
            <w:r>
              <w:rPr>
                <w:b/>
              </w:rPr>
              <w:t>Action</w:t>
            </w:r>
          </w:p>
        </w:tc>
      </w:tr>
      <w:tr>
        <w:tc>
          <w:tcPr>
            <w:tcW w:type="dxa" w:w="4320"/>
          </w:tcPr>
          <w:p>
            <w:r>
              <w:t>**Week 1**</w:t>
            </w:r>
          </w:p>
        </w:tc>
        <w:tc>
          <w:tcPr>
            <w:tcW w:type="dxa" w:w="4320"/>
          </w:tcPr>
          <w:p>
            <w:r>
              <w:t>Execute T1 core position (40% at $65-68K), set T2 limit orders</w:t>
            </w:r>
          </w:p>
        </w:tc>
      </w:tr>
      <w:tr>
        <w:tc>
          <w:tcPr>
            <w:tcW w:type="dxa" w:w="4320"/>
          </w:tcPr>
          <w:p>
            <w:r>
              <w:t>**Week 2**</w:t>
            </w:r>
          </w:p>
        </w:tc>
        <w:tc>
          <w:tcPr>
            <w:tcW w:type="dxa" w:w="4320"/>
          </w:tcPr>
          <w:p>
            <w:r>
              <w:t>Open LBTC position for 4% yield on 20% of stack</w:t>
            </w:r>
          </w:p>
        </w:tc>
      </w:tr>
      <w:tr>
        <w:tc>
          <w:tcPr>
            <w:tcW w:type="dxa" w:w="4320"/>
          </w:tcPr>
          <w:p>
            <w:r>
              <w:t>**Week 3**</w:t>
            </w:r>
          </w:p>
        </w:tc>
        <w:tc>
          <w:tcPr>
            <w:tcW w:type="dxa" w:w="4320"/>
          </w:tcPr>
          <w:p>
            <w:r>
              <w:t>Review ETF flow data (Monday weekly), adjust if &gt;$500M outflow</w:t>
            </w:r>
          </w:p>
        </w:tc>
      </w:tr>
      <w:tr>
        <w:tc>
          <w:tcPr>
            <w:tcW w:type="dxa" w:w="4320"/>
          </w:tcPr>
          <w:p>
            <w:r>
              <w:t>**Week 4**</w:t>
            </w:r>
          </w:p>
        </w:tc>
        <w:tc>
          <w:tcPr>
            <w:tcW w:type="dxa" w:w="4320"/>
          </w:tcPr>
          <w:p>
            <w:r>
              <w:t>Check on-chain metrics (MVRV, NUPL, exchange balance)</w:t>
            </w:r>
          </w:p>
        </w:tc>
      </w:tr>
      <w:tr>
        <w:tc>
          <w:tcPr>
            <w:tcW w:type="dxa" w:w="4320"/>
          </w:tcPr>
          <w:p>
            <w:r>
              <w:t>**Month 2**</w:t>
            </w:r>
          </w:p>
        </w:tc>
        <w:tc>
          <w:tcPr>
            <w:tcW w:type="dxa" w:w="4320"/>
          </w:tcPr>
          <w:p>
            <w:r>
              <w:t>Assess post-FOMC (Sep) macro impact, Fed cut trajectory</w:t>
            </w:r>
          </w:p>
        </w:tc>
      </w:tr>
      <w:tr>
        <w:tc>
          <w:tcPr>
            <w:tcW w:type="dxa" w:w="4320"/>
          </w:tcPr>
          <w:p>
            <w:r>
              <w:t>**Month 3**</w:t>
            </w:r>
          </w:p>
        </w:tc>
        <w:tc>
          <w:tcPr>
            <w:tcW w:type="dxa" w:w="4320"/>
          </w:tcPr>
          <w:p>
            <w:r>
              <w:t>Pre-election positioning (reduce leverage, raise cash if uncertain)</w:t>
            </w:r>
          </w:p>
        </w:tc>
      </w:tr>
      <w:tr>
        <w:tc>
          <w:tcPr>
            <w:tcW w:type="dxa" w:w="4320"/>
          </w:tcPr>
          <w:p>
            <w:r>
              <w:t>**Ongoing**</w:t>
            </w:r>
          </w:p>
        </w:tc>
        <w:tc>
          <w:tcPr>
            <w:tcW w:type="dxa" w:w="4320"/>
          </w:tcPr>
          <w:p>
            <w:r>
              <w:t>Monthly rebalance, quarterly cold storage audit</w:t>
            </w:r>
          </w:p>
        </w:tc>
      </w:tr>
    </w:tbl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2"/>
      </w:pPr>
      <w:r>
        <w:t>11. Key Data Sources &amp; Monitoring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Category</w:t>
            </w:r>
          </w:p>
        </w:tc>
        <w:tc>
          <w:tcPr>
            <w:tcW w:type="dxa" w:w="2880"/>
          </w:tcPr>
          <w:p>
            <w:r>
              <w:rPr>
                <w:b/>
              </w:rPr>
              <w:t>Source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Frequency</w:t>
            </w:r>
          </w:p>
        </w:tc>
      </w:tr>
      <w:tr>
        <w:tc>
          <w:tcPr>
            <w:tcW w:type="dxa" w:w="2880"/>
          </w:tcPr>
          <w:p>
            <w:r>
              <w:t>**Price/Charts**</w:t>
            </w:r>
          </w:p>
        </w:tc>
        <w:tc>
          <w:tcPr>
            <w:tcW w:type="dxa" w:w="2880"/>
          </w:tcPr>
          <w:p>
            <w:r>
              <w:t>TradingView, CoinGecko</w:t>
            </w:r>
          </w:p>
        </w:tc>
        <w:tc>
          <w:tcPr>
            <w:tcW w:type="dxa" w:w="2880"/>
          </w:tcPr>
          <w:p>
            <w:r>
              <w:t>Real-time</w:t>
            </w:r>
          </w:p>
        </w:tc>
      </w:tr>
      <w:tr>
        <w:tc>
          <w:tcPr>
            <w:tcW w:type="dxa" w:w="2880"/>
          </w:tcPr>
          <w:p>
            <w:r>
              <w:t>**On-Chain**</w:t>
            </w:r>
          </w:p>
        </w:tc>
        <w:tc>
          <w:tcPr>
            <w:tcW w:type="dxa" w:w="2880"/>
          </w:tcPr>
          <w:p>
            <w:r>
              <w:t>Glassnode, CryptoQuant, Lookonchain</w:t>
            </w:r>
          </w:p>
        </w:tc>
        <w:tc>
          <w:tcPr>
            <w:tcW w:type="dxa" w:w="2880"/>
          </w:tcPr>
          <w:p>
            <w:r>
              <w:t>Daily</w:t>
            </w:r>
          </w:p>
        </w:tc>
      </w:tr>
      <w:tr>
        <w:tc>
          <w:tcPr>
            <w:tcW w:type="dxa" w:w="2880"/>
          </w:tcPr>
          <w:p>
            <w:r>
              <w:t>**ETF Flows**</w:t>
            </w:r>
          </w:p>
        </w:tc>
        <w:tc>
          <w:tcPr>
            <w:tcW w:type="dxa" w:w="2880"/>
          </w:tcPr>
          <w:p>
            <w:r>
              <w:t>Farside Investors, Bloomberg</w:t>
            </w:r>
          </w:p>
        </w:tc>
        <w:tc>
          <w:tcPr>
            <w:tcW w:type="dxa" w:w="2880"/>
          </w:tcPr>
          <w:p>
            <w:r>
              <w:t>Daily (weekly summary)</w:t>
            </w:r>
          </w:p>
        </w:tc>
      </w:tr>
      <w:tr>
        <w:tc>
          <w:tcPr>
            <w:tcW w:type="dxa" w:w="2880"/>
          </w:tcPr>
          <w:p>
            <w:r>
              <w:t>**Macro**</w:t>
            </w:r>
          </w:p>
        </w:tc>
        <w:tc>
          <w:tcPr>
            <w:tcW w:type="dxa" w:w="2880"/>
          </w:tcPr>
          <w:p>
            <w:r>
              <w:t>Fed speeches, CPI/PCE, DXY</w:t>
            </w:r>
          </w:p>
        </w:tc>
        <w:tc>
          <w:tcPr>
            <w:tcW w:type="dxa" w:w="2880"/>
          </w:tcPr>
          <w:p>
            <w:r>
              <w:t>Scheduled releases</w:t>
            </w:r>
          </w:p>
        </w:tc>
      </w:tr>
      <w:tr>
        <w:tc>
          <w:tcPr>
            <w:tcW w:type="dxa" w:w="2880"/>
          </w:tcPr>
          <w:p>
            <w:r>
              <w:t>**Regulation**</w:t>
            </w:r>
          </w:p>
        </w:tc>
        <w:tc>
          <w:tcPr>
            <w:tcW w:type="dxa" w:w="2880"/>
          </w:tcPr>
          <w:p>
            <w:r>
              <w:t>SEC.gov, Congress.gov, Polymarket</w:t>
            </w:r>
          </w:p>
        </w:tc>
        <w:tc>
          <w:tcPr>
            <w:tcW w:type="dxa" w:w="2880"/>
          </w:tcPr>
          <w:p>
            <w:r>
              <w:t>Event-driven</w:t>
            </w:r>
          </w:p>
        </w:tc>
      </w:tr>
      <w:tr>
        <w:tc>
          <w:tcPr>
            <w:tcW w:type="dxa" w:w="2880"/>
          </w:tcPr>
          <w:p>
            <w:r>
              <w:t>**Mining**</w:t>
            </w:r>
          </w:p>
        </w:tc>
        <w:tc>
          <w:tcPr>
            <w:tcW w:type="dxa" w:w="2880"/>
          </w:tcPr>
          <w:p>
            <w:r>
              <w:t>Hashrate Index, BTC.com</w:t>
            </w:r>
          </w:p>
        </w:tc>
        <w:tc>
          <w:tcPr>
            <w:tcW w:type="dxa" w:w="2880"/>
          </w:tcPr>
          <w:p>
            <w:r>
              <w:t>Weekly</w:t>
            </w:r>
          </w:p>
        </w:tc>
      </w:tr>
      <w:tr>
        <w:tc>
          <w:tcPr>
            <w:tcW w:type="dxa" w:w="2880"/>
          </w:tcPr>
          <w:p>
            <w:r>
              <w:t>**Derivatives**</w:t>
            </w:r>
          </w:p>
        </w:tc>
        <w:tc>
          <w:tcPr>
            <w:tcW w:type="dxa" w:w="2880"/>
          </w:tcPr>
          <w:p>
            <w:r>
              <w:t>Coinglass, Laevitas</w:t>
            </w:r>
          </w:p>
        </w:tc>
        <w:tc>
          <w:tcPr>
            <w:tcW w:type="dxa" w:w="2880"/>
          </w:tcPr>
          <w:p>
            <w:r>
              <w:t>Daily</w:t>
            </w:r>
          </w:p>
        </w:tc>
      </w:tr>
    </w:tbl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2"/>
      </w:pPr>
      <w:r>
        <w:t>Appendix: Glossary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Term</w:t>
            </w:r>
          </w:p>
        </w:tc>
        <w:tc>
          <w:tcPr>
            <w:tcW w:type="dxa" w:w="4320"/>
          </w:tcPr>
          <w:p>
            <w:r>
              <w:rPr>
                <w:b/>
              </w:rPr>
              <w:t>Definition</w:t>
            </w:r>
          </w:p>
        </w:tc>
      </w:tr>
      <w:tr>
        <w:tc>
          <w:tcPr>
            <w:tcW w:type="dxa" w:w="4320"/>
          </w:tcPr>
          <w:p>
            <w:r>
              <w:t>**MVRV**</w:t>
            </w:r>
          </w:p>
        </w:tc>
        <w:tc>
          <w:tcPr>
            <w:tcW w:type="dxa" w:w="4320"/>
          </w:tcPr>
          <w:p>
            <w:r>
              <w:t>Market Value / Realized Value — profit/loss proxy</w:t>
            </w:r>
          </w:p>
        </w:tc>
      </w:tr>
      <w:tr>
        <w:tc>
          <w:tcPr>
            <w:tcW w:type="dxa" w:w="4320"/>
          </w:tcPr>
          <w:p>
            <w:r>
              <w:t>**NUPL**</w:t>
            </w:r>
          </w:p>
        </w:tc>
        <w:tc>
          <w:tcPr>
            <w:tcW w:type="dxa" w:w="4320"/>
          </w:tcPr>
          <w:p>
            <w:r>
              <w:t>Net Unrealized Profit/Loss — market sentiment</w:t>
            </w:r>
          </w:p>
        </w:tc>
      </w:tr>
      <w:tr>
        <w:tc>
          <w:tcPr>
            <w:tcW w:type="dxa" w:w="4320"/>
          </w:tcPr>
          <w:p>
            <w:r>
              <w:t>**STH/LTH**</w:t>
            </w:r>
          </w:p>
        </w:tc>
        <w:tc>
          <w:tcPr>
            <w:tcW w:type="dxa" w:w="4320"/>
          </w:tcPr>
          <w:p>
            <w:r>
              <w:t>Short/Long-Term Holder (155-day threshold)</w:t>
            </w:r>
          </w:p>
        </w:tc>
      </w:tr>
      <w:tr>
        <w:tc>
          <w:tcPr>
            <w:tcW w:type="dxa" w:w="4320"/>
          </w:tcPr>
          <w:p>
            <w:r>
              <w:t>**Puell Multiple**</w:t>
            </w:r>
          </w:p>
        </w:tc>
        <w:tc>
          <w:tcPr>
            <w:tcW w:type="dxa" w:w="4320"/>
          </w:tcPr>
          <w:p>
            <w:r>
              <w:t>Miner revenue vs. yearly average</w:t>
            </w:r>
          </w:p>
        </w:tc>
      </w:tr>
      <w:tr>
        <w:tc>
          <w:tcPr>
            <w:tcW w:type="dxa" w:w="4320"/>
          </w:tcPr>
          <w:p>
            <w:r>
              <w:t>**Hash Ribbons**</w:t>
            </w:r>
          </w:p>
        </w:tc>
        <w:tc>
          <w:tcPr>
            <w:tcW w:type="dxa" w:w="4320"/>
          </w:tcPr>
          <w:p>
            <w:r>
              <w:t>Hash rate MA crossover — miner health</w:t>
            </w:r>
          </w:p>
        </w:tc>
      </w:tr>
      <w:tr>
        <w:tc>
          <w:tcPr>
            <w:tcW w:type="dxa" w:w="4320"/>
          </w:tcPr>
          <w:p>
            <w:r>
              <w:t>**RHODL**</w:t>
            </w:r>
          </w:p>
        </w:tc>
        <w:tc>
          <w:tcPr>
            <w:tcW w:type="dxa" w:w="4320"/>
          </w:tcPr>
          <w:p>
            <w:r>
              <w:t>Realized HODL Ratio — cycle timing</w:t>
            </w:r>
          </w:p>
        </w:tc>
      </w:tr>
      <w:tr>
        <w:tc>
          <w:tcPr>
            <w:tcW w:type="dxa" w:w="4320"/>
          </w:tcPr>
          <w:p>
            <w:r>
              <w:t>**SAB 121**</w:t>
            </w:r>
          </w:p>
        </w:tc>
        <w:tc>
          <w:tcPr>
            <w:tcW w:type="dxa" w:w="4320"/>
          </w:tcPr>
          <w:p>
            <w:r>
              <w:t>SEC rule requiring banks to liability-ize crypto custody</w:t>
            </w:r>
          </w:p>
        </w:tc>
      </w:tr>
      <w:tr>
        <w:tc>
          <w:tcPr>
            <w:tcW w:type="dxa" w:w="4320"/>
          </w:tcPr>
          <w:p>
            <w:r>
              <w:t>**FIT21**</w:t>
            </w:r>
          </w:p>
        </w:tc>
        <w:tc>
          <w:tcPr>
            <w:tcW w:type="dxa" w:w="4320"/>
          </w:tcPr>
          <w:p>
            <w:r>
              <w:t>Financial Innovation and Technology for the 21st Century Act</w:t>
            </w:r>
          </w:p>
        </w:tc>
      </w:tr>
    </w:tbl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r>
        <w:rPr>
          <w:rFonts w:ascii="Calibri" w:hAnsi="Calibri"/>
          <w:i/>
          <w:sz w:val="22"/>
        </w:rPr>
        <w:t>Prepared: 2026-08-20</w:t>
      </w:r>
    </w:p>
    <w:p>
      <w:r>
        <w:rPr>
          <w:rFonts w:ascii="Calibri" w:hAnsi="Calibri"/>
          <w:i/>
          <w:sz w:val="22"/>
        </w:rPr>
        <w:t>For: HK-based investor, 61M, retirement portfolio context</w:t>
      </w:r>
    </w:p>
    <w:p>
      <w:r>
        <w:rPr>
          <w:rFonts w:ascii="Calibri" w:hAnsi="Calibri"/>
          <w:i/>
          <w:sz w:val="22"/>
        </w:rPr>
        <w:t>Data Sources: Glassnode, CryptoQuant, CoinGecko, Farside, Bloomberg, Polymarket, Blockchain.com</w:t>
      </w:r>
    </w:p>
    <w:p>
      <w:r>
        <w:rPr>
          <w:rFonts w:ascii="Calibri" w:hAnsi="Calibri"/>
          <w:i/>
          <w:sz w:val="22"/>
        </w:rPr>
        <w:t xml:space="preserve">Disclaimer: </w:t>
      </w:r>
      <w:r>
        <w:rPr>
          <w:rFonts w:ascii="Calibri" w:hAnsi="Calibri"/>
          <w:i/>
          <w:sz w:val="22"/>
        </w:rPr>
        <w:t>Not financial advice</w:t>
      </w:r>
      <w:r>
        <w:rPr>
          <w:rFonts w:ascii="Calibri" w:hAnsi="Calibri"/>
          <w:i/>
          <w:sz w:val="22"/>
        </w:rPr>
        <w:t>. Crypto is volatile. Past performance ≠ future results. Position size per risk tolerance. Self-custody recommended for long-term holdings.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3366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3366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3366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